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A7A" w:rsidRPr="007C66C0" w:rsidRDefault="009F1A7A" w:rsidP="00734F9D">
      <w:pPr>
        <w:pStyle w:val="NormalWeb"/>
        <w:shd w:val="clear" w:color="auto" w:fill="FFFFFF"/>
        <w:spacing w:before="0" w:beforeAutospacing="0" w:after="0" w:afterAutospacing="0"/>
        <w:ind w:left="-567" w:firstLine="425"/>
        <w:jc w:val="right"/>
        <w:rPr>
          <w:rStyle w:val="Strong"/>
          <w:rFonts w:ascii="GHEA Grapalat" w:hAnsi="GHEA Grapalat"/>
          <w:color w:val="000000"/>
          <w:lang w:val="hy-AM"/>
        </w:rPr>
      </w:pPr>
      <w:r w:rsidRPr="007C66C0">
        <w:rPr>
          <w:rStyle w:val="Strong"/>
          <w:rFonts w:ascii="GHEA Grapalat" w:hAnsi="GHEA Grapalat"/>
          <w:color w:val="000000"/>
          <w:lang w:val="hy-AM"/>
        </w:rPr>
        <w:t>ՆԱԽԱԳԻԾ</w:t>
      </w:r>
    </w:p>
    <w:p w:rsidR="009F1A7A" w:rsidRPr="007C66C0" w:rsidRDefault="009F1A7A" w:rsidP="00734F9D">
      <w:pPr>
        <w:pStyle w:val="NormalWeb"/>
        <w:shd w:val="clear" w:color="auto" w:fill="FFFFFF"/>
        <w:spacing w:before="0" w:beforeAutospacing="0" w:after="0" w:afterAutospacing="0"/>
        <w:ind w:left="-567" w:firstLine="425"/>
        <w:jc w:val="center"/>
        <w:rPr>
          <w:rStyle w:val="Strong"/>
          <w:rFonts w:ascii="GHEA Grapalat" w:hAnsi="GHEA Grapalat"/>
          <w:color w:val="000000"/>
          <w:lang w:val="hy-AM"/>
        </w:rPr>
      </w:pPr>
    </w:p>
    <w:p w:rsidR="009F1A7A" w:rsidRPr="007C66C0" w:rsidRDefault="009F1A7A" w:rsidP="00734F9D">
      <w:pPr>
        <w:pStyle w:val="NormalWeb"/>
        <w:shd w:val="clear" w:color="auto" w:fill="FFFFFF"/>
        <w:spacing w:before="0" w:beforeAutospacing="0" w:after="0" w:afterAutospacing="0"/>
        <w:ind w:left="-567" w:firstLine="425"/>
        <w:jc w:val="center"/>
        <w:rPr>
          <w:rStyle w:val="Strong"/>
          <w:rFonts w:ascii="GHEA Grapalat" w:hAnsi="GHEA Grapalat"/>
          <w:color w:val="000000"/>
          <w:lang w:val="hy-AM"/>
        </w:rPr>
      </w:pPr>
    </w:p>
    <w:p w:rsidR="00954DF0" w:rsidRPr="007C66C0" w:rsidRDefault="00954DF0" w:rsidP="00734F9D">
      <w:pPr>
        <w:pStyle w:val="NormalWeb"/>
        <w:shd w:val="clear" w:color="auto" w:fill="FFFFFF"/>
        <w:spacing w:before="0" w:beforeAutospacing="0" w:after="0" w:afterAutospacing="0"/>
        <w:ind w:left="-567" w:firstLine="425"/>
        <w:jc w:val="center"/>
        <w:rPr>
          <w:rFonts w:ascii="GHEA Grapalat" w:hAnsi="GHEA Grapalat"/>
          <w:color w:val="000000"/>
          <w:lang w:val="hy-AM"/>
        </w:rPr>
      </w:pPr>
      <w:r w:rsidRPr="007C66C0">
        <w:rPr>
          <w:rStyle w:val="Strong"/>
          <w:rFonts w:ascii="GHEA Grapalat" w:hAnsi="GHEA Grapalat"/>
          <w:color w:val="000000"/>
          <w:lang w:val="hy-AM"/>
        </w:rPr>
        <w:t>ՀԱՅԱՍՏԱՆԻ ՀԱՆՐԱՊԵՏՈՒԹՅԱՆ ԿԱՌԱՎԱՐՈՒԹՅՈՒՆ</w:t>
      </w:r>
    </w:p>
    <w:p w:rsidR="00954DF0" w:rsidRPr="007C66C0" w:rsidRDefault="00954DF0" w:rsidP="00734F9D">
      <w:pPr>
        <w:pStyle w:val="NormalWeb"/>
        <w:shd w:val="clear" w:color="auto" w:fill="FFFFFF"/>
        <w:spacing w:before="0" w:beforeAutospacing="0" w:after="0" w:afterAutospacing="0"/>
        <w:ind w:left="-567" w:firstLine="425"/>
        <w:jc w:val="center"/>
        <w:rPr>
          <w:rFonts w:ascii="GHEA Grapalat" w:hAnsi="GHEA Grapalat"/>
          <w:color w:val="000000"/>
          <w:lang w:val="hy-AM"/>
        </w:rPr>
      </w:pPr>
      <w:r w:rsidRPr="007C66C0">
        <w:rPr>
          <w:rFonts w:ascii="Courier New" w:hAnsi="Courier New" w:cs="Courier New"/>
          <w:color w:val="000000"/>
          <w:lang w:val="hy-AM"/>
        </w:rPr>
        <w:t> </w:t>
      </w:r>
    </w:p>
    <w:p w:rsidR="00954DF0" w:rsidRPr="007C66C0" w:rsidRDefault="00954DF0" w:rsidP="00734F9D">
      <w:pPr>
        <w:pStyle w:val="NormalWeb"/>
        <w:shd w:val="clear" w:color="auto" w:fill="FFFFFF"/>
        <w:spacing w:before="0" w:beforeAutospacing="0" w:after="0" w:afterAutospacing="0"/>
        <w:ind w:left="-567" w:firstLine="425"/>
        <w:jc w:val="center"/>
        <w:rPr>
          <w:rFonts w:ascii="GHEA Grapalat" w:hAnsi="GHEA Grapalat"/>
          <w:color w:val="000000"/>
          <w:lang w:val="hy-AM"/>
        </w:rPr>
      </w:pPr>
      <w:r w:rsidRPr="007C66C0">
        <w:rPr>
          <w:rStyle w:val="Strong"/>
          <w:rFonts w:ascii="GHEA Grapalat" w:hAnsi="GHEA Grapalat"/>
          <w:color w:val="000000"/>
          <w:lang w:val="hy-AM"/>
        </w:rPr>
        <w:t>Ո Ր Ո Շ ՈՒ Մ</w:t>
      </w:r>
    </w:p>
    <w:p w:rsidR="00954DF0" w:rsidRPr="007C66C0" w:rsidRDefault="00954DF0" w:rsidP="00734F9D">
      <w:pPr>
        <w:pStyle w:val="NormalWeb"/>
        <w:shd w:val="clear" w:color="auto" w:fill="FFFFFF"/>
        <w:spacing w:before="0" w:beforeAutospacing="0" w:after="0" w:afterAutospacing="0"/>
        <w:ind w:left="-567" w:firstLine="425"/>
        <w:jc w:val="center"/>
        <w:rPr>
          <w:rFonts w:ascii="GHEA Grapalat" w:hAnsi="GHEA Grapalat"/>
          <w:color w:val="000000"/>
          <w:lang w:val="hy-AM"/>
        </w:rPr>
      </w:pPr>
      <w:r w:rsidRPr="007C66C0">
        <w:rPr>
          <w:rFonts w:ascii="Courier New" w:hAnsi="Courier New" w:cs="Courier New"/>
          <w:color w:val="000000"/>
          <w:lang w:val="hy-AM"/>
        </w:rPr>
        <w:t> </w:t>
      </w:r>
    </w:p>
    <w:p w:rsidR="00954DF0" w:rsidRPr="007C66C0" w:rsidRDefault="009F1A7A" w:rsidP="00734F9D">
      <w:pPr>
        <w:pStyle w:val="NormalWeb"/>
        <w:shd w:val="clear" w:color="auto" w:fill="FFFFFF"/>
        <w:spacing w:before="0" w:beforeAutospacing="0" w:after="0" w:afterAutospacing="0"/>
        <w:ind w:left="-567" w:firstLine="425"/>
        <w:jc w:val="center"/>
        <w:rPr>
          <w:rFonts w:ascii="GHEA Grapalat" w:hAnsi="GHEA Grapalat"/>
          <w:color w:val="000000"/>
          <w:lang w:val="hy-AM"/>
        </w:rPr>
      </w:pPr>
      <w:r w:rsidRPr="007C66C0">
        <w:rPr>
          <w:rFonts w:ascii="GHEA Grapalat" w:hAnsi="GHEA Grapalat"/>
          <w:color w:val="000000"/>
          <w:lang w:val="hy-AM"/>
        </w:rPr>
        <w:t>__________________</w:t>
      </w:r>
      <w:r w:rsidR="000D019D" w:rsidRPr="007C66C0">
        <w:rPr>
          <w:rFonts w:ascii="GHEA Grapalat" w:hAnsi="GHEA Grapalat"/>
          <w:color w:val="000000"/>
          <w:lang w:val="hy-AM"/>
        </w:rPr>
        <w:t xml:space="preserve"> 2018</w:t>
      </w:r>
      <w:r w:rsidR="00954DF0" w:rsidRPr="007C66C0">
        <w:rPr>
          <w:rFonts w:ascii="GHEA Grapalat" w:hAnsi="GHEA Grapalat"/>
          <w:color w:val="000000"/>
          <w:lang w:val="hy-AM"/>
        </w:rPr>
        <w:t xml:space="preserve"> թվականի N </w:t>
      </w:r>
      <w:r w:rsidRPr="007C66C0">
        <w:rPr>
          <w:rFonts w:ascii="GHEA Grapalat" w:hAnsi="GHEA Grapalat"/>
          <w:color w:val="000000"/>
          <w:lang w:val="hy-AM"/>
        </w:rPr>
        <w:t>_______</w:t>
      </w:r>
      <w:r w:rsidR="005C1AA6">
        <w:rPr>
          <w:rFonts w:ascii="GHEA Grapalat" w:hAnsi="GHEA Grapalat"/>
          <w:color w:val="000000"/>
          <w:lang w:val="hy-AM"/>
        </w:rPr>
        <w:t>-Ա</w:t>
      </w:r>
      <w:bookmarkStart w:id="0" w:name="_GoBack"/>
      <w:bookmarkEnd w:id="0"/>
    </w:p>
    <w:p w:rsidR="00954DF0" w:rsidRPr="007C66C0" w:rsidRDefault="00954DF0" w:rsidP="00734F9D">
      <w:pPr>
        <w:pStyle w:val="NormalWeb"/>
        <w:shd w:val="clear" w:color="auto" w:fill="FFFFFF"/>
        <w:spacing w:before="0" w:beforeAutospacing="0" w:after="0" w:afterAutospacing="0"/>
        <w:ind w:left="-567" w:firstLine="425"/>
        <w:jc w:val="center"/>
        <w:rPr>
          <w:rFonts w:ascii="GHEA Grapalat" w:hAnsi="GHEA Grapalat"/>
          <w:color w:val="000000"/>
          <w:lang w:val="hy-AM"/>
        </w:rPr>
      </w:pPr>
      <w:r w:rsidRPr="007C66C0">
        <w:rPr>
          <w:rFonts w:ascii="Courier New" w:hAnsi="Courier New" w:cs="Courier New"/>
          <w:color w:val="000000"/>
          <w:lang w:val="hy-AM"/>
        </w:rPr>
        <w:t> </w:t>
      </w:r>
    </w:p>
    <w:p w:rsidR="000B6308" w:rsidRPr="007C66C0" w:rsidRDefault="000B6308" w:rsidP="00734F9D">
      <w:pPr>
        <w:pStyle w:val="NormalWeb"/>
        <w:shd w:val="clear" w:color="auto" w:fill="FFFFFF"/>
        <w:spacing w:before="0" w:beforeAutospacing="0" w:after="0" w:afterAutospacing="0" w:line="360" w:lineRule="auto"/>
        <w:ind w:left="-567" w:firstLine="425"/>
        <w:jc w:val="center"/>
        <w:rPr>
          <w:rStyle w:val="Strong"/>
          <w:rFonts w:ascii="GHEA Grapalat" w:hAnsi="GHEA Grapalat"/>
          <w:color w:val="000000"/>
          <w:lang w:val="hy-AM"/>
        </w:rPr>
      </w:pPr>
    </w:p>
    <w:p w:rsidR="00954DF0" w:rsidRPr="007C66C0" w:rsidRDefault="00954DF0" w:rsidP="00734F9D">
      <w:pPr>
        <w:pStyle w:val="NormalWeb"/>
        <w:shd w:val="clear" w:color="auto" w:fill="FFFFFF"/>
        <w:spacing w:before="0" w:beforeAutospacing="0" w:after="0" w:afterAutospacing="0" w:line="360" w:lineRule="auto"/>
        <w:ind w:left="-567" w:firstLine="425"/>
        <w:jc w:val="center"/>
        <w:rPr>
          <w:rFonts w:ascii="GHEA Grapalat" w:hAnsi="GHEA Grapalat"/>
          <w:color w:val="000000"/>
          <w:lang w:val="hy-AM"/>
        </w:rPr>
      </w:pPr>
      <w:r w:rsidRPr="007C66C0">
        <w:rPr>
          <w:rStyle w:val="Strong"/>
          <w:rFonts w:ascii="GHEA Grapalat" w:hAnsi="GHEA Grapalat"/>
          <w:color w:val="000000"/>
          <w:lang w:val="hy-AM"/>
        </w:rPr>
        <w:t>«</w:t>
      </w:r>
      <w:r w:rsidR="000D019D" w:rsidRPr="007C66C0">
        <w:rPr>
          <w:rStyle w:val="Strong"/>
          <w:rFonts w:ascii="GHEA Grapalat" w:hAnsi="GHEA Grapalat"/>
          <w:color w:val="000000"/>
          <w:lang w:val="hy-AM"/>
        </w:rPr>
        <w:t>ՃԱՌԱԳԱՅԹԱՅԻՆ ԲՈՒԺՄԱՆ ԿԵՆՏՐՈՆ</w:t>
      </w:r>
      <w:r w:rsidRPr="007C66C0">
        <w:rPr>
          <w:rStyle w:val="Strong"/>
          <w:rFonts w:ascii="GHEA Grapalat" w:hAnsi="GHEA Grapalat"/>
          <w:color w:val="000000"/>
          <w:lang w:val="hy-AM"/>
        </w:rPr>
        <w:t>» ՓԱԿ ԲԱԺՆԵՏԻՐԱԿԱՆ ԸՆԿԵՐՈՒԹՅՈՒՆԸ ԼՈՒԾԱՐԵԼՈՒ ՄԱՍԻՆ</w:t>
      </w:r>
    </w:p>
    <w:p w:rsidR="00954DF0" w:rsidRPr="007C66C0" w:rsidRDefault="00954DF0" w:rsidP="00734F9D">
      <w:pPr>
        <w:pStyle w:val="NormalWeb"/>
        <w:shd w:val="clear" w:color="auto" w:fill="FFFFFF"/>
        <w:spacing w:before="0" w:beforeAutospacing="0" w:after="0" w:afterAutospacing="0"/>
        <w:ind w:left="-567" w:firstLine="425"/>
        <w:rPr>
          <w:rFonts w:ascii="GHEA Grapalat" w:hAnsi="GHEA Grapalat"/>
          <w:color w:val="000000"/>
          <w:lang w:val="hy-AM"/>
        </w:rPr>
      </w:pPr>
      <w:r w:rsidRPr="007C66C0">
        <w:rPr>
          <w:rFonts w:ascii="Courier New" w:hAnsi="Courier New" w:cs="Courier New"/>
          <w:color w:val="000000"/>
          <w:lang w:val="hy-AM"/>
        </w:rPr>
        <w:t> </w:t>
      </w:r>
    </w:p>
    <w:p w:rsidR="00954DF0" w:rsidRPr="007C66C0" w:rsidRDefault="00954DF0" w:rsidP="00734F9D">
      <w:pPr>
        <w:pStyle w:val="NormalWeb"/>
        <w:shd w:val="clear" w:color="auto" w:fill="FFFFFF"/>
        <w:spacing w:before="0" w:beforeAutospacing="0" w:after="0" w:afterAutospacing="0" w:line="360" w:lineRule="auto"/>
        <w:ind w:left="-567" w:firstLine="425"/>
        <w:jc w:val="both"/>
        <w:rPr>
          <w:rFonts w:ascii="GHEA Grapalat" w:hAnsi="GHEA Grapalat"/>
          <w:color w:val="000000"/>
          <w:lang w:val="hy-AM"/>
        </w:rPr>
      </w:pPr>
      <w:r w:rsidRPr="007C66C0">
        <w:rPr>
          <w:rFonts w:ascii="GHEA Grapalat" w:hAnsi="GHEA Grapalat"/>
          <w:color w:val="000000"/>
          <w:lang w:val="hy-AM"/>
        </w:rPr>
        <w:t xml:space="preserve">Հիմք ընդունելով </w:t>
      </w:r>
      <w:r w:rsidR="003E7EC2" w:rsidRPr="003E7EC2">
        <w:rPr>
          <w:rFonts w:ascii="GHEA Grapalat" w:hAnsi="GHEA Grapalat"/>
          <w:color w:val="000000"/>
          <w:lang w:val="hy-AM"/>
        </w:rPr>
        <w:t>Հայաստանի Հանրապետությ</w:t>
      </w:r>
      <w:r w:rsidR="00362ED8">
        <w:rPr>
          <w:rFonts w:ascii="GHEA Grapalat" w:hAnsi="GHEA Grapalat"/>
          <w:color w:val="000000"/>
          <w:lang w:val="hy-AM"/>
        </w:rPr>
        <w:t>ան քաղաքացիական օրենսգրքի 67-րդ</w:t>
      </w:r>
      <w:r w:rsidR="00362ED8" w:rsidRPr="00362ED8">
        <w:rPr>
          <w:rFonts w:ascii="GHEA Grapalat" w:hAnsi="GHEA Grapalat"/>
          <w:color w:val="000000"/>
          <w:lang w:val="hy-AM"/>
        </w:rPr>
        <w:t xml:space="preserve"> </w:t>
      </w:r>
      <w:r w:rsidR="003E7EC2" w:rsidRPr="003E7EC2">
        <w:rPr>
          <w:rFonts w:ascii="GHEA Grapalat" w:hAnsi="GHEA Grapalat"/>
          <w:color w:val="000000"/>
          <w:lang w:val="hy-AM"/>
        </w:rPr>
        <w:t>հոդված</w:t>
      </w:r>
      <w:r w:rsidR="00362ED8">
        <w:rPr>
          <w:rFonts w:ascii="GHEA Grapalat" w:hAnsi="GHEA Grapalat"/>
          <w:color w:val="000000"/>
          <w:lang w:val="hy-AM"/>
        </w:rPr>
        <w:t xml:space="preserve">ը և </w:t>
      </w:r>
      <w:r w:rsidRPr="007C66C0">
        <w:rPr>
          <w:rFonts w:ascii="GHEA Grapalat" w:hAnsi="GHEA Grapalat"/>
          <w:color w:val="000000"/>
          <w:lang w:val="hy-AM"/>
        </w:rPr>
        <w:t xml:space="preserve">«Բաժնետիրական ընկերությունների մասին» Հայաստանի Հանրապետության օրենքի 27-րդ հոդվածի 2-րդ մասի «ա» </w:t>
      </w:r>
      <w:r w:rsidR="003E7EC2" w:rsidRPr="003E7EC2">
        <w:rPr>
          <w:rFonts w:ascii="GHEA Grapalat" w:hAnsi="GHEA Grapalat"/>
          <w:color w:val="000000"/>
          <w:lang w:val="hy-AM"/>
        </w:rPr>
        <w:t>ենթա</w:t>
      </w:r>
      <w:r w:rsidRPr="007C66C0">
        <w:rPr>
          <w:rFonts w:ascii="GHEA Grapalat" w:hAnsi="GHEA Grapalat"/>
          <w:color w:val="000000"/>
          <w:lang w:val="hy-AM"/>
        </w:rPr>
        <w:t>կետը, 67-րդ հոդվածի 1-ին մասի «գ» ենթակետը և 68-րդ հոդվածի 7-րդ մասը՝ Հայաստանի Հանրապետության կառավարությունը</w:t>
      </w:r>
      <w:r w:rsidRPr="007C66C0">
        <w:rPr>
          <w:rFonts w:ascii="Courier New" w:hAnsi="Courier New" w:cs="Courier New"/>
          <w:color w:val="000000"/>
          <w:lang w:val="hy-AM"/>
        </w:rPr>
        <w:t> </w:t>
      </w:r>
      <w:r w:rsidRPr="007C66C0">
        <w:rPr>
          <w:rStyle w:val="Emphasis"/>
          <w:rFonts w:ascii="GHEA Grapalat" w:hAnsi="GHEA Grapalat"/>
          <w:b/>
          <w:bCs/>
          <w:color w:val="000000"/>
          <w:lang w:val="hy-AM"/>
        </w:rPr>
        <w:t>որոշում է</w:t>
      </w:r>
      <w:r w:rsidRPr="007C66C0">
        <w:rPr>
          <w:rFonts w:ascii="GHEA Grapalat" w:hAnsi="GHEA Grapalat"/>
          <w:color w:val="000000"/>
          <w:lang w:val="hy-AM"/>
        </w:rPr>
        <w:t>.</w:t>
      </w:r>
    </w:p>
    <w:p w:rsidR="00954DF0" w:rsidRPr="007C66C0" w:rsidRDefault="00954DF0" w:rsidP="00734F9D">
      <w:pPr>
        <w:pStyle w:val="NormalWeb"/>
        <w:shd w:val="clear" w:color="auto" w:fill="FFFFFF"/>
        <w:spacing w:before="0" w:beforeAutospacing="0" w:after="0" w:afterAutospacing="0" w:line="360" w:lineRule="auto"/>
        <w:ind w:left="-567" w:firstLine="425"/>
        <w:jc w:val="both"/>
        <w:rPr>
          <w:rFonts w:ascii="GHEA Grapalat" w:hAnsi="GHEA Grapalat"/>
          <w:color w:val="000000"/>
          <w:lang w:val="hy-AM"/>
        </w:rPr>
      </w:pPr>
      <w:r w:rsidRPr="007C66C0">
        <w:rPr>
          <w:rFonts w:ascii="GHEA Grapalat" w:hAnsi="GHEA Grapalat"/>
          <w:color w:val="000000"/>
          <w:lang w:val="hy-AM"/>
        </w:rPr>
        <w:t>1. Հայաստանի Հանրապետության օրենսդրությամբ սահմանված կարգով լուծարել «</w:t>
      </w:r>
      <w:r w:rsidR="005E2373" w:rsidRPr="007C66C0">
        <w:rPr>
          <w:rFonts w:ascii="GHEA Grapalat" w:hAnsi="GHEA Grapalat"/>
          <w:color w:val="000000"/>
          <w:lang w:val="hy-AM"/>
        </w:rPr>
        <w:t xml:space="preserve">Ճառագայթային </w:t>
      </w:r>
      <w:r w:rsidR="000D019D" w:rsidRPr="007C66C0">
        <w:rPr>
          <w:rFonts w:ascii="GHEA Grapalat" w:hAnsi="GHEA Grapalat"/>
          <w:color w:val="000000"/>
          <w:lang w:val="hy-AM"/>
        </w:rPr>
        <w:t>բուժման</w:t>
      </w:r>
      <w:r w:rsidR="007722D5" w:rsidRPr="007C66C0">
        <w:rPr>
          <w:rFonts w:ascii="GHEA Grapalat" w:hAnsi="GHEA Grapalat"/>
          <w:color w:val="000000"/>
          <w:lang w:val="hy-AM"/>
        </w:rPr>
        <w:t xml:space="preserve"> կենտրոն</w:t>
      </w:r>
      <w:r w:rsidRPr="007C66C0">
        <w:rPr>
          <w:rFonts w:ascii="GHEA Grapalat" w:hAnsi="GHEA Grapalat"/>
          <w:color w:val="000000"/>
          <w:lang w:val="hy-AM"/>
        </w:rPr>
        <w:t>» փակ բաժնետիրական</w:t>
      </w:r>
      <w:r w:rsidR="007722D5" w:rsidRPr="007C66C0">
        <w:rPr>
          <w:rFonts w:ascii="GHEA Grapalat" w:hAnsi="GHEA Grapalat"/>
          <w:color w:val="000000"/>
          <w:lang w:val="hy-AM"/>
        </w:rPr>
        <w:t xml:space="preserve"> ընկերությունը </w:t>
      </w:r>
      <w:r w:rsidRPr="007C66C0">
        <w:rPr>
          <w:rFonts w:ascii="GHEA Grapalat" w:hAnsi="GHEA Grapalat"/>
          <w:color w:val="000000"/>
          <w:lang w:val="hy-AM"/>
        </w:rPr>
        <w:t>(գտնվելու վայրը</w:t>
      </w:r>
      <w:r w:rsidR="007722D5" w:rsidRPr="007C66C0">
        <w:rPr>
          <w:rFonts w:ascii="GHEA Grapalat" w:hAnsi="GHEA Grapalat"/>
          <w:color w:val="000000"/>
          <w:lang w:val="hy-AM"/>
        </w:rPr>
        <w:t xml:space="preserve">՝ </w:t>
      </w:r>
      <w:r w:rsidR="000D019D" w:rsidRPr="007C66C0">
        <w:rPr>
          <w:rFonts w:ascii="GHEA Grapalat" w:hAnsi="GHEA Grapalat"/>
          <w:color w:val="000000"/>
          <w:lang w:val="hy-AM"/>
        </w:rPr>
        <w:t>0010</w:t>
      </w:r>
      <w:r w:rsidR="007722D5" w:rsidRPr="007C66C0">
        <w:rPr>
          <w:rFonts w:ascii="GHEA Grapalat" w:hAnsi="GHEA Grapalat"/>
          <w:color w:val="000000"/>
          <w:lang w:val="hy-AM"/>
        </w:rPr>
        <w:t>, Հայաստանի Հանրապետություն, ք</w:t>
      </w:r>
      <w:r w:rsidRPr="007C66C0">
        <w:rPr>
          <w:rFonts w:ascii="GHEA Grapalat" w:hAnsi="GHEA Grapalat"/>
          <w:color w:val="000000"/>
          <w:lang w:val="hy-AM"/>
        </w:rPr>
        <w:t xml:space="preserve">. Երևան, </w:t>
      </w:r>
      <w:r w:rsidR="000D019D" w:rsidRPr="007C66C0">
        <w:rPr>
          <w:rFonts w:ascii="GHEA Grapalat" w:hAnsi="GHEA Grapalat"/>
          <w:color w:val="000000"/>
          <w:lang w:val="hy-AM"/>
        </w:rPr>
        <w:t>Հանրապետության Հրապարակ, Կառավարական տուն 3</w:t>
      </w:r>
      <w:r w:rsidRPr="007C66C0">
        <w:rPr>
          <w:rFonts w:ascii="GHEA Grapalat" w:hAnsi="GHEA Grapalat"/>
          <w:color w:val="000000"/>
          <w:lang w:val="hy-AM"/>
        </w:rPr>
        <w:t>, պետական գրանցման համարը՝</w:t>
      </w:r>
      <w:r w:rsidR="007C66C0" w:rsidRPr="007C66C0">
        <w:rPr>
          <w:rFonts w:ascii="GHEA Grapalat" w:hAnsi="GHEA Grapalat"/>
          <w:color w:val="000000"/>
          <w:lang w:val="hy-AM"/>
        </w:rPr>
        <w:t>286.120.913816</w:t>
      </w:r>
      <w:r w:rsidRPr="007C66C0">
        <w:rPr>
          <w:rFonts w:ascii="GHEA Grapalat" w:hAnsi="GHEA Grapalat"/>
          <w:color w:val="000000"/>
          <w:lang w:val="hy-AM"/>
        </w:rPr>
        <w:t>):</w:t>
      </w:r>
    </w:p>
    <w:p w:rsidR="00954DF0" w:rsidRPr="007C66C0" w:rsidRDefault="00954DF0" w:rsidP="00734F9D">
      <w:pPr>
        <w:pStyle w:val="NormalWeb"/>
        <w:shd w:val="clear" w:color="auto" w:fill="FFFFFF"/>
        <w:spacing w:before="0" w:beforeAutospacing="0" w:after="0" w:afterAutospacing="0" w:line="360" w:lineRule="auto"/>
        <w:ind w:left="-567" w:firstLine="425"/>
        <w:jc w:val="both"/>
        <w:rPr>
          <w:rFonts w:ascii="GHEA Grapalat" w:hAnsi="GHEA Grapalat"/>
          <w:color w:val="000000"/>
          <w:lang w:val="hy-AM"/>
        </w:rPr>
      </w:pPr>
      <w:r w:rsidRPr="007C66C0">
        <w:rPr>
          <w:rFonts w:ascii="GHEA Grapalat" w:hAnsi="GHEA Grapalat"/>
          <w:color w:val="000000"/>
          <w:lang w:val="hy-AM"/>
        </w:rPr>
        <w:t>2. Հայաստանի Հանրապետության կառավարությանն առընթեր պետական գույքի կառավարման վարչության պետին` լուծարման աշխատանքներն իրականացնելու նպատակով</w:t>
      </w:r>
      <w:r w:rsidR="00362ED8" w:rsidRPr="00362ED8">
        <w:rPr>
          <w:rFonts w:ascii="GHEA Grapalat" w:hAnsi="GHEA Grapalat"/>
          <w:lang w:val="hy-AM"/>
        </w:rPr>
        <w:t xml:space="preserve"> </w:t>
      </w:r>
      <w:r w:rsidR="00362ED8" w:rsidRPr="00A156E3">
        <w:rPr>
          <w:rFonts w:ascii="GHEA Grapalat" w:hAnsi="GHEA Grapalat"/>
          <w:lang w:val="hy-AM"/>
        </w:rPr>
        <w:t>սույն որոշումն ուժի մեջ մտնելուց հետո</w:t>
      </w:r>
      <w:r w:rsidRPr="007C66C0">
        <w:rPr>
          <w:rFonts w:ascii="GHEA Grapalat" w:hAnsi="GHEA Grapalat"/>
          <w:color w:val="000000"/>
          <w:lang w:val="hy-AM"/>
        </w:rPr>
        <w:t xml:space="preserve"> 15-օրյա ժամկետում</w:t>
      </w:r>
      <w:r w:rsidR="007722D5" w:rsidRPr="007C66C0">
        <w:rPr>
          <w:rFonts w:ascii="GHEA Grapalat" w:hAnsi="GHEA Grapalat"/>
          <w:color w:val="000000"/>
          <w:lang w:val="hy-AM"/>
        </w:rPr>
        <w:t xml:space="preserve"> ստեղծել լուծարման հանձնաժողով</w:t>
      </w:r>
      <w:r w:rsidRPr="007C66C0">
        <w:rPr>
          <w:rFonts w:ascii="GHEA Grapalat" w:hAnsi="GHEA Grapalat"/>
          <w:color w:val="000000"/>
          <w:lang w:val="hy-AM"/>
        </w:rPr>
        <w:t xml:space="preserve">՝ </w:t>
      </w:r>
      <w:r w:rsidR="007722D5" w:rsidRPr="007C66C0">
        <w:rPr>
          <w:rFonts w:ascii="GHEA Grapalat" w:hAnsi="GHEA Grapalat"/>
          <w:color w:val="000000"/>
          <w:lang w:val="hy-AM"/>
        </w:rPr>
        <w:t>դրա</w:t>
      </w:r>
      <w:r w:rsidRPr="007C66C0">
        <w:rPr>
          <w:rFonts w:ascii="GHEA Grapalat" w:hAnsi="GHEA Grapalat"/>
          <w:color w:val="000000"/>
          <w:lang w:val="hy-AM"/>
        </w:rPr>
        <w:t xml:space="preserve"> կազմում ընդգրկելով Հայաստանի Հանրապետության առողջապահության նախարարության (մեկ անդամ), Հայաստանի Հանրապետության ֆինանսների նախարարության (մեկ անդամ), Հայաստանի Հանրապետության արդարադատության նախարարության (մեկ անդամ), Հայաստանի Հանրապետության կառավարությանն առընթեր պետական գույքի կառավարման վարչության (երկու անդամ՝ հանձնաժողովի նախագահ և անդամ-քարտուղար), Հայաստանի Հանրապետության կառավարությանն առընթեր պետական եկամուտների կոմիտեի (մեկ </w:t>
      </w:r>
      <w:r w:rsidR="007722D5" w:rsidRPr="007C66C0">
        <w:rPr>
          <w:rFonts w:ascii="GHEA Grapalat" w:hAnsi="GHEA Grapalat"/>
          <w:color w:val="000000"/>
          <w:lang w:val="hy-AM"/>
        </w:rPr>
        <w:t>անդամ) ներկայացուցիչներին</w:t>
      </w:r>
      <w:r w:rsidRPr="007C66C0">
        <w:rPr>
          <w:rFonts w:ascii="GHEA Grapalat" w:hAnsi="GHEA Grapalat"/>
          <w:color w:val="000000"/>
          <w:lang w:val="hy-AM"/>
        </w:rPr>
        <w:t>:</w:t>
      </w:r>
    </w:p>
    <w:p w:rsidR="00954DF0" w:rsidRPr="007C66C0" w:rsidRDefault="00954DF0" w:rsidP="00734F9D">
      <w:pPr>
        <w:pStyle w:val="NormalWeb"/>
        <w:shd w:val="clear" w:color="auto" w:fill="FFFFFF"/>
        <w:spacing w:before="0" w:beforeAutospacing="0" w:after="0" w:afterAutospacing="0" w:line="360" w:lineRule="auto"/>
        <w:ind w:left="-567" w:firstLine="425"/>
        <w:jc w:val="both"/>
        <w:rPr>
          <w:rFonts w:ascii="GHEA Grapalat" w:hAnsi="GHEA Grapalat"/>
          <w:color w:val="000000"/>
          <w:lang w:val="hy-AM"/>
        </w:rPr>
      </w:pPr>
      <w:r w:rsidRPr="007C66C0">
        <w:rPr>
          <w:rFonts w:ascii="GHEA Grapalat" w:hAnsi="GHEA Grapalat"/>
          <w:color w:val="000000"/>
          <w:lang w:val="hy-AM"/>
        </w:rPr>
        <w:lastRenderedPageBreak/>
        <w:t>3. Հայաստանի Հանրապետության առողջապահության նախ</w:t>
      </w:r>
      <w:r w:rsidR="007E771C">
        <w:rPr>
          <w:rFonts w:ascii="GHEA Grapalat" w:hAnsi="GHEA Grapalat"/>
          <w:color w:val="000000"/>
          <w:lang w:val="hy-AM"/>
        </w:rPr>
        <w:t>արարին` լուծարման հանձնաժողով</w:t>
      </w:r>
      <w:r w:rsidRPr="007C66C0">
        <w:rPr>
          <w:rFonts w:ascii="GHEA Grapalat" w:hAnsi="GHEA Grapalat"/>
          <w:color w:val="000000"/>
          <w:lang w:val="hy-AM"/>
        </w:rPr>
        <w:t>ի ստեղծումից հետո մեկամսյա ժամկետում ապահովել ընկերությ</w:t>
      </w:r>
      <w:r w:rsidR="007C66C0" w:rsidRPr="007C66C0">
        <w:rPr>
          <w:rFonts w:ascii="GHEA Grapalat" w:hAnsi="GHEA Grapalat"/>
          <w:color w:val="000000"/>
          <w:lang w:val="hy-AM"/>
        </w:rPr>
        <w:t>ան</w:t>
      </w:r>
      <w:r w:rsidRPr="007C66C0">
        <w:rPr>
          <w:rFonts w:ascii="GHEA Grapalat" w:hAnsi="GHEA Grapalat"/>
          <w:color w:val="000000"/>
          <w:lang w:val="hy-AM"/>
        </w:rPr>
        <w:t xml:space="preserve"> համապատասխան փաստաթղթերի և գույքի, այդ թվում՝ դրամական միջոցների, արժեթղթերի և գույքային իրավունքների հանձնումը լուծարման հանձնաժողովներին:</w:t>
      </w:r>
    </w:p>
    <w:p w:rsidR="00954DF0" w:rsidRPr="007C66C0" w:rsidRDefault="00954DF0" w:rsidP="00734F9D">
      <w:pPr>
        <w:pStyle w:val="NormalWeb"/>
        <w:shd w:val="clear" w:color="auto" w:fill="FFFFFF"/>
        <w:spacing w:before="0" w:beforeAutospacing="0" w:after="0" w:afterAutospacing="0" w:line="360" w:lineRule="auto"/>
        <w:ind w:left="-567" w:firstLine="425"/>
        <w:jc w:val="both"/>
        <w:rPr>
          <w:rFonts w:ascii="GHEA Grapalat" w:hAnsi="GHEA Grapalat"/>
          <w:color w:val="000000"/>
          <w:lang w:val="hy-AM"/>
        </w:rPr>
      </w:pPr>
      <w:r w:rsidRPr="007C66C0">
        <w:rPr>
          <w:rFonts w:ascii="GHEA Grapalat" w:hAnsi="GHEA Grapalat"/>
          <w:color w:val="000000"/>
          <w:lang w:val="hy-AM"/>
        </w:rPr>
        <w:t>4. Սահմանել, որ՝</w:t>
      </w:r>
    </w:p>
    <w:p w:rsidR="00954DF0" w:rsidRPr="007C66C0" w:rsidRDefault="00954DF0" w:rsidP="00734F9D">
      <w:pPr>
        <w:pStyle w:val="NormalWeb"/>
        <w:shd w:val="clear" w:color="auto" w:fill="FFFFFF"/>
        <w:spacing w:before="0" w:beforeAutospacing="0" w:after="0" w:afterAutospacing="0" w:line="360" w:lineRule="auto"/>
        <w:ind w:left="-567" w:firstLine="425"/>
        <w:jc w:val="both"/>
        <w:rPr>
          <w:rFonts w:ascii="GHEA Grapalat" w:hAnsi="GHEA Grapalat"/>
          <w:color w:val="000000"/>
          <w:lang w:val="hy-AM"/>
        </w:rPr>
      </w:pPr>
      <w:r w:rsidRPr="007C66C0">
        <w:rPr>
          <w:rFonts w:ascii="GHEA Grapalat" w:hAnsi="GHEA Grapalat"/>
          <w:color w:val="000000"/>
          <w:lang w:val="hy-AM"/>
        </w:rPr>
        <w:t>1)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w:t>
      </w:r>
    </w:p>
    <w:p w:rsidR="00954DF0" w:rsidRPr="007C66C0" w:rsidRDefault="00954DF0" w:rsidP="00734F9D">
      <w:pPr>
        <w:pStyle w:val="NormalWeb"/>
        <w:shd w:val="clear" w:color="auto" w:fill="FFFFFF"/>
        <w:spacing w:before="0" w:beforeAutospacing="0" w:after="0" w:afterAutospacing="0" w:line="360" w:lineRule="auto"/>
        <w:ind w:left="-567" w:firstLine="425"/>
        <w:jc w:val="both"/>
        <w:rPr>
          <w:rFonts w:ascii="GHEA Grapalat" w:hAnsi="GHEA Grapalat"/>
          <w:color w:val="000000"/>
          <w:lang w:val="hy-AM"/>
        </w:rPr>
      </w:pPr>
      <w:r w:rsidRPr="007C66C0">
        <w:rPr>
          <w:rFonts w:ascii="GHEA Grapalat" w:hAnsi="GHEA Grapalat"/>
          <w:color w:val="000000"/>
          <w:lang w:val="hy-AM"/>
        </w:rPr>
        <w:t>2) պարտատերերի պահանջների բավարարումից հետո մնացած գույքի առկայության դեպքում այն հանձնվում է Հայաստանի Հանրապետության կառավարությանն առընթեր պետական գույքի կառավարման վարչությանը:</w:t>
      </w:r>
    </w:p>
    <w:p w:rsidR="00516616" w:rsidRPr="007C66C0" w:rsidRDefault="00516616" w:rsidP="00734F9D">
      <w:pPr>
        <w:spacing w:line="360" w:lineRule="auto"/>
        <w:ind w:left="-567" w:firstLine="425"/>
        <w:jc w:val="both"/>
        <w:rPr>
          <w:rFonts w:ascii="GHEA Grapalat" w:hAnsi="GHEA Grapalat"/>
          <w:sz w:val="24"/>
          <w:szCs w:val="24"/>
          <w:lang w:val="hy-AM"/>
        </w:rPr>
      </w:pPr>
    </w:p>
    <w:p w:rsidR="007C66C0" w:rsidRPr="00734F9D" w:rsidRDefault="007C66C0"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p w:rsidR="00734F9D" w:rsidRPr="003E7EC2" w:rsidRDefault="00734F9D" w:rsidP="00734F9D">
      <w:pPr>
        <w:spacing w:line="360" w:lineRule="auto"/>
        <w:ind w:left="-567" w:firstLine="425"/>
        <w:jc w:val="both"/>
        <w:rPr>
          <w:rFonts w:ascii="GHEA Grapalat" w:hAnsi="GHEA Grapalat"/>
          <w:sz w:val="24"/>
          <w:szCs w:val="24"/>
          <w:lang w:val="hy-AM"/>
        </w:rPr>
      </w:pPr>
    </w:p>
    <w:sectPr w:rsidR="00734F9D" w:rsidRPr="003E7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0031E"/>
    <w:multiLevelType w:val="hybridMultilevel"/>
    <w:tmpl w:val="85826B34"/>
    <w:lvl w:ilvl="0" w:tplc="35BAB172">
      <w:start w:val="1"/>
      <w:numFmt w:val="decimal"/>
      <w:lvlText w:val="%1."/>
      <w:lvlJc w:val="left"/>
      <w:pPr>
        <w:ind w:left="90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B2"/>
    <w:rsid w:val="000B6308"/>
    <w:rsid w:val="000D019D"/>
    <w:rsid w:val="00362ED8"/>
    <w:rsid w:val="003758E5"/>
    <w:rsid w:val="003B1010"/>
    <w:rsid w:val="003E7EC2"/>
    <w:rsid w:val="00516616"/>
    <w:rsid w:val="005966FC"/>
    <w:rsid w:val="005B1FFB"/>
    <w:rsid w:val="005C1AA6"/>
    <w:rsid w:val="005E2373"/>
    <w:rsid w:val="00734F9D"/>
    <w:rsid w:val="007722D5"/>
    <w:rsid w:val="007C66C0"/>
    <w:rsid w:val="007C6AB2"/>
    <w:rsid w:val="007E771C"/>
    <w:rsid w:val="00954DF0"/>
    <w:rsid w:val="009F1A7A"/>
    <w:rsid w:val="00D53F91"/>
    <w:rsid w:val="00E42DB2"/>
    <w:rsid w:val="00FB2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DB3A"/>
  <w15:docId w15:val="{057AFAC4-8422-4E74-9BB1-C9890B9B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D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954DF0"/>
    <w:rPr>
      <w:b/>
      <w:bCs/>
    </w:rPr>
  </w:style>
  <w:style w:type="character" w:styleId="Emphasis">
    <w:name w:val="Emphasis"/>
    <w:basedOn w:val="DefaultParagraphFont"/>
    <w:uiPriority w:val="20"/>
    <w:qFormat/>
    <w:rsid w:val="00954D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610106">
      <w:bodyDiv w:val="1"/>
      <w:marLeft w:val="0"/>
      <w:marRight w:val="0"/>
      <w:marTop w:val="0"/>
      <w:marBottom w:val="0"/>
      <w:divBdr>
        <w:top w:val="none" w:sz="0" w:space="0" w:color="auto"/>
        <w:left w:val="none" w:sz="0" w:space="0" w:color="auto"/>
        <w:bottom w:val="none" w:sz="0" w:space="0" w:color="auto"/>
        <w:right w:val="none" w:sz="0" w:space="0" w:color="auto"/>
      </w:divBdr>
    </w:div>
    <w:div w:id="1678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law-1</dc:creator>
  <cp:keywords/>
  <dc:description/>
  <cp:lastModifiedBy>Mariana Shakaryan</cp:lastModifiedBy>
  <cp:revision>18</cp:revision>
  <dcterms:created xsi:type="dcterms:W3CDTF">2018-01-25T12:25:00Z</dcterms:created>
  <dcterms:modified xsi:type="dcterms:W3CDTF">2018-05-03T11:33:00Z</dcterms:modified>
</cp:coreProperties>
</file>