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05E64" w:rsidRPr="00BA12E2">
        <w:rPr>
          <w:rFonts w:ascii="GHEA Grapalat" w:hAnsi="GHEA Grapalat"/>
          <w:color w:val="000000"/>
        </w:rPr>
        <w:t>7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722B73" w:rsidRPr="00722B73" w:rsidRDefault="00722B73" w:rsidP="00F42EED">
      <w:pPr>
        <w:spacing w:after="0"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2A3ABC">
        <w:rPr>
          <w:rFonts w:ascii="GHEA Grapalat" w:hAnsi="GHEA Grapalat"/>
          <w:b/>
          <w:sz w:val="24"/>
          <w:szCs w:val="24"/>
        </w:rPr>
        <w:t>ԼՈՌՈՒ</w:t>
      </w:r>
      <w:r w:rsidR="002A3ABC" w:rsidRPr="002A3AB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2A3ABC">
        <w:rPr>
          <w:rFonts w:ascii="GHEA Grapalat" w:hAnsi="GHEA Grapalat"/>
          <w:b/>
          <w:sz w:val="24"/>
          <w:szCs w:val="24"/>
        </w:rPr>
        <w:t>ՄԱՐԶՊԵՏԱՐԱՆԻՆ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ԳՈՒՄԱՐ ՀԱՏԿԱՑՆԵԼՈՒ</w:t>
      </w:r>
      <w:r w:rsidR="002A3ABC" w:rsidRPr="002A3AB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6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1A146F" w:rsidRDefault="001A146F" w:rsidP="00F42EE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BA12E2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2011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փետրվարի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10-</w:t>
      </w:r>
      <w:r w:rsidRPr="00B72DE1">
        <w:rPr>
          <w:rFonts w:ascii="GHEA Grapalat" w:eastAsia="Times New Roman" w:hAnsi="GHEA Grapalat" w:cs="Sylfaen"/>
          <w:sz w:val="24"/>
          <w:szCs w:val="24"/>
        </w:rPr>
        <w:t>ի</w:t>
      </w:r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72DE1">
        <w:rPr>
          <w:rFonts w:ascii="GHEA Grapalat" w:eastAsia="Times New Roman" w:hAnsi="GHEA Grapalat"/>
          <w:sz w:val="24"/>
          <w:szCs w:val="24"/>
        </w:rPr>
        <w:t>N</w:t>
      </w:r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168-</w:t>
      </w:r>
      <w:r w:rsidRPr="00B72DE1">
        <w:rPr>
          <w:rFonts w:ascii="GHEA Grapalat" w:eastAsia="Times New Roman" w:hAnsi="GHEA Grapalat" w:cs="Sylfaen"/>
          <w:sz w:val="24"/>
          <w:szCs w:val="24"/>
        </w:rPr>
        <w:t>Ն</w:t>
      </w:r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հաստատված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կարգի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3-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B72DE1">
        <w:rPr>
          <w:rFonts w:ascii="GHEA Grapalat" w:eastAsia="Times New Roman" w:hAnsi="GHEA Grapalat" w:cs="Sylfaen"/>
          <w:sz w:val="24"/>
          <w:szCs w:val="24"/>
        </w:rPr>
        <w:t>և</w:t>
      </w:r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61-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proofErr w:type="spellStart"/>
      <w:r w:rsidRPr="00B72DE1">
        <w:rPr>
          <w:rFonts w:ascii="GHEA Grapalat" w:eastAsia="Times New Roman" w:hAnsi="GHEA Grapalat" w:cs="Sylfaen"/>
          <w:sz w:val="24"/>
          <w:szCs w:val="24"/>
        </w:rPr>
        <w:t>կետերով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և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 w:rsidRPr="00BA12E2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2A3ABC" w:rsidRDefault="00722B73" w:rsidP="002A3ABC">
      <w:p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 w:rsidRPr="00BA12E2">
        <w:rPr>
          <w:rFonts w:ascii="GHEA Grapalat" w:hAnsi="GHEA Grapalat" w:cs="Sylfaen"/>
          <w:color w:val="000000"/>
          <w:lang w:val="af-ZA"/>
        </w:rPr>
        <w:t xml:space="preserve">. </w:t>
      </w:r>
      <w:proofErr w:type="spellStart"/>
      <w:proofErr w:type="gram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ՀՀ Լոռու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մարզի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առաջնահերթ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լուծում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պահանջող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հիմնախնդիրների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լուծման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ուղղությամբ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իրականացվելիք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B05E64" w:rsidRPr="002A3ABC">
        <w:rPr>
          <w:rFonts w:ascii="GHEA Grapalat" w:eastAsia="Times New Roman" w:hAnsi="GHEA Grapalat" w:cs="Sylfaen"/>
          <w:sz w:val="24"/>
          <w:szCs w:val="24"/>
          <w:lang w:val="af-ZA"/>
        </w:rPr>
        <w:t>7</w:t>
      </w:r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բյուջեով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պահուստային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ֆոնդից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ՀՀ Լոռու մարզպետարանին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հատկացնել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A3ABC" w:rsidRPr="00F42EED">
        <w:rPr>
          <w:rFonts w:ascii="GHEA Grapalat" w:eastAsia="Times New Roman" w:hAnsi="GHEA Grapalat" w:cs="Sylfaen"/>
          <w:sz w:val="24"/>
          <w:szCs w:val="24"/>
        </w:rPr>
        <w:t>360,960.7</w:t>
      </w:r>
      <w:r w:rsidR="002A3ABC" w:rsidRPr="00C52FE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13055A">
        <w:rPr>
          <w:rFonts w:ascii="GHEA Grapalat" w:eastAsia="Times New Roman" w:hAnsi="GHEA Grapalat" w:cs="Sylfaen"/>
          <w:sz w:val="24"/>
          <w:szCs w:val="24"/>
        </w:rPr>
        <w:t>հազ</w:t>
      </w:r>
      <w:proofErr w:type="spell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  <w:proofErr w:type="gramEnd"/>
      <w:r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13055A">
        <w:rPr>
          <w:rFonts w:ascii="GHEA Grapalat" w:eastAsia="Times New Roman" w:hAnsi="GHEA Grapalat" w:cs="Sylfaen"/>
          <w:sz w:val="24"/>
          <w:szCs w:val="24"/>
        </w:rPr>
        <w:t>դրամ</w:t>
      </w:r>
      <w:proofErr w:type="spellEnd"/>
      <w:proofErr w:type="gramEnd"/>
      <w:r w:rsidR="002A3ABC">
        <w:rPr>
          <w:rFonts w:ascii="GHEA Grapalat" w:eastAsia="Times New Roman" w:hAnsi="GHEA Grapalat" w:cs="Sylfaen"/>
          <w:sz w:val="24"/>
          <w:szCs w:val="24"/>
        </w:rPr>
        <w:t>՝</w:t>
      </w:r>
      <w:r w:rsidR="002A3ABC"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2A3ABC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="002A3ABC" w:rsidRPr="002A3AB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A3ABC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2A3ABC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A3ABC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="002A3ABC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A3ABC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="002A3ABC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722B73" w:rsidRPr="002A3ABC" w:rsidRDefault="0017656E" w:rsidP="002A3ABC">
      <w:p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2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. 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722B73" w:rsidRPr="0047239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201</w:t>
      </w:r>
      <w:r w:rsidR="00B05E64" w:rsidRPr="00472396">
        <w:rPr>
          <w:rFonts w:ascii="GHEA Grapalat" w:hAnsi="GHEA Grapalat" w:cs="Sylfaen"/>
          <w:color w:val="000000"/>
          <w:sz w:val="24"/>
          <w:szCs w:val="24"/>
          <w:lang w:val="af-ZA"/>
        </w:rPr>
        <w:t>6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</w:t>
      </w:r>
      <w:r w:rsidR="00B05E64" w:rsidRPr="00472396">
        <w:rPr>
          <w:rFonts w:ascii="GHEA Grapalat" w:hAnsi="GHEA Grapalat" w:cs="Sylfaen"/>
          <w:color w:val="000000"/>
          <w:sz w:val="24"/>
          <w:szCs w:val="24"/>
          <w:lang w:val="af-ZA"/>
        </w:rPr>
        <w:t>9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722B73" w:rsidRPr="0047239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722B73" w:rsidRPr="0047239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>201</w:t>
      </w:r>
      <w:r w:rsidR="00B05E64" w:rsidRPr="00472396">
        <w:rPr>
          <w:rFonts w:ascii="GHEA Grapalat" w:hAnsi="GHEA Grapalat"/>
          <w:color w:val="000000"/>
          <w:sz w:val="24"/>
          <w:szCs w:val="24"/>
          <w:lang w:val="af-ZA"/>
        </w:rPr>
        <w:t>7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միջոցառ</w:t>
      </w:r>
      <w:bookmarkStart w:id="0" w:name="_GoBack"/>
      <w:bookmarkEnd w:id="0"/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ումների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» 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</w:t>
      </w:r>
      <w:r w:rsidR="00B05E64" w:rsidRPr="00472396">
        <w:rPr>
          <w:rFonts w:ascii="GHEA Grapalat" w:hAnsi="GHEA Grapalat" w:cs="Sylfaen"/>
          <w:color w:val="000000"/>
          <w:sz w:val="24"/>
          <w:szCs w:val="24"/>
          <w:lang w:val="af-ZA"/>
        </w:rPr>
        <w:t>313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NN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11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12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հավելվածներում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լրացումներ՝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NN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  <w:r w:rsidR="002A3ABC" w:rsidRPr="002A3ABC">
        <w:rPr>
          <w:rFonts w:ascii="GHEA Grapalat" w:hAnsi="GHEA Grapalat" w:cs="Sylfaen"/>
          <w:color w:val="000000"/>
          <w:sz w:val="24"/>
          <w:szCs w:val="24"/>
          <w:lang w:val="af-ZA"/>
        </w:rPr>
        <w:t>2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A3ABC" w:rsidRPr="002A3ABC"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հավելվածների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722B73" w:rsidRPr="00303144" w:rsidRDefault="0017656E" w:rsidP="00722B73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="00722B73" w:rsidRPr="00722B7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. Սահմանել, որ սույն որոշման վրա չի տարածվում Հայաստանի Հանրապետության կառավարություն 2011 թվականի փետրվարի 10-ի &lt;&lt;Գնումների գործընթացի կազմակերպման մասին&gt;&gt; թիվ 168-Ն </w:t>
      </w:r>
      <w:r w:rsidR="00722B73" w:rsidRPr="00303144">
        <w:rPr>
          <w:rFonts w:ascii="GHEA Grapalat" w:hAnsi="GHEA Grapalat" w:cs="Sylfaen"/>
          <w:color w:val="000000"/>
          <w:sz w:val="24"/>
          <w:szCs w:val="24"/>
          <w:lang w:val="hy-AM"/>
        </w:rPr>
        <w:t>որոշմա</w:t>
      </w:r>
      <w:proofErr w:type="spellStart"/>
      <w:r w:rsidR="00984B3E" w:rsidRPr="00303144">
        <w:rPr>
          <w:rFonts w:ascii="GHEA Grapalat" w:hAnsi="GHEA Grapalat" w:cs="Sylfaen"/>
          <w:color w:val="000000"/>
          <w:sz w:val="24"/>
          <w:szCs w:val="24"/>
        </w:rPr>
        <w:t>մբ</w:t>
      </w:r>
      <w:proofErr w:type="spellEnd"/>
      <w:r w:rsidR="00984B3E" w:rsidRPr="009D5F9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984B3E" w:rsidRPr="00303144">
        <w:rPr>
          <w:rFonts w:ascii="GHEA Grapalat" w:hAnsi="GHEA Grapalat" w:cs="Sylfaen"/>
          <w:color w:val="000000"/>
          <w:sz w:val="24"/>
          <w:szCs w:val="24"/>
        </w:rPr>
        <w:t>հաստատված</w:t>
      </w:r>
      <w:proofErr w:type="spellEnd"/>
      <w:r w:rsidR="00984B3E" w:rsidRPr="009D5F9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984B3E" w:rsidRPr="00303144">
        <w:rPr>
          <w:rFonts w:ascii="GHEA Grapalat" w:hAnsi="GHEA Grapalat" w:cs="Sylfaen"/>
          <w:color w:val="000000"/>
          <w:sz w:val="24"/>
          <w:szCs w:val="24"/>
        </w:rPr>
        <w:t>կարգի</w:t>
      </w:r>
      <w:proofErr w:type="spellEnd"/>
      <w:r w:rsidR="00984B3E" w:rsidRPr="009D5F9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722B73" w:rsidRPr="0030314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20-րդ կետով սահմանված դրույթ</w:t>
      </w:r>
      <w:r w:rsidR="0022436C">
        <w:rPr>
          <w:rFonts w:ascii="GHEA Grapalat" w:hAnsi="GHEA Grapalat" w:cs="Sylfaen"/>
          <w:color w:val="000000"/>
          <w:sz w:val="24"/>
          <w:szCs w:val="24"/>
          <w:lang w:val="ru-RU"/>
        </w:rPr>
        <w:t>ներ</w:t>
      </w:r>
      <w:r w:rsidR="00722B73" w:rsidRPr="00303144">
        <w:rPr>
          <w:rFonts w:ascii="GHEA Grapalat" w:hAnsi="GHEA Grapalat" w:cs="Sylfaen"/>
          <w:color w:val="000000"/>
          <w:sz w:val="24"/>
          <w:szCs w:val="24"/>
          <w:lang w:val="hy-AM"/>
        </w:rPr>
        <w:t>ը:</w:t>
      </w:r>
    </w:p>
    <w:p w:rsidR="00722B73" w:rsidRPr="00BA12E2" w:rsidRDefault="0017656E" w:rsidP="00722B73">
      <w:pPr>
        <w:pStyle w:val="norm"/>
        <w:spacing w:line="360" w:lineRule="auto"/>
        <w:ind w:firstLine="375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7656E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="00722B73" w:rsidRPr="00303144">
        <w:rPr>
          <w:rFonts w:ascii="GHEA Grapalat" w:hAnsi="GHEA Grapalat" w:cs="Sylfaen"/>
          <w:color w:val="000000"/>
          <w:sz w:val="24"/>
          <w:szCs w:val="24"/>
          <w:lang w:val="hy-AM"/>
        </w:rPr>
        <w:t>. Սույն որոշումն ուժի մեջ է մտնում պաշտոնական հրապարակմանը</w:t>
      </w:r>
      <w:r w:rsidR="00722B73" w:rsidRPr="00BA12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հաջորդող օրվանից:</w:t>
      </w:r>
    </w:p>
    <w:p w:rsidR="00245F22" w:rsidRPr="00BA12E2" w:rsidRDefault="00245F22">
      <w:pPr>
        <w:rPr>
          <w:lang w:val="hy-AM"/>
        </w:rPr>
      </w:pPr>
    </w:p>
    <w:sectPr w:rsidR="00245F22" w:rsidRPr="00BA12E2" w:rsidSect="00F42EED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13055A"/>
    <w:rsid w:val="0017656E"/>
    <w:rsid w:val="001A146F"/>
    <w:rsid w:val="001A1839"/>
    <w:rsid w:val="001A4090"/>
    <w:rsid w:val="0020237F"/>
    <w:rsid w:val="0022436C"/>
    <w:rsid w:val="00245F22"/>
    <w:rsid w:val="002A3275"/>
    <w:rsid w:val="002A3ABC"/>
    <w:rsid w:val="002E522E"/>
    <w:rsid w:val="00303144"/>
    <w:rsid w:val="00346F55"/>
    <w:rsid w:val="00433001"/>
    <w:rsid w:val="004336C5"/>
    <w:rsid w:val="004511C0"/>
    <w:rsid w:val="00472396"/>
    <w:rsid w:val="00521992"/>
    <w:rsid w:val="00537AB3"/>
    <w:rsid w:val="00660DDD"/>
    <w:rsid w:val="006876B7"/>
    <w:rsid w:val="006B7A18"/>
    <w:rsid w:val="006C6715"/>
    <w:rsid w:val="006C7C0C"/>
    <w:rsid w:val="00722B73"/>
    <w:rsid w:val="007C4AE8"/>
    <w:rsid w:val="0084784F"/>
    <w:rsid w:val="00861912"/>
    <w:rsid w:val="00881660"/>
    <w:rsid w:val="008F50CC"/>
    <w:rsid w:val="00966998"/>
    <w:rsid w:val="00984B3E"/>
    <w:rsid w:val="00993D02"/>
    <w:rsid w:val="009C2569"/>
    <w:rsid w:val="009D5F9A"/>
    <w:rsid w:val="00A06EE4"/>
    <w:rsid w:val="00A47D5D"/>
    <w:rsid w:val="00AB6AF3"/>
    <w:rsid w:val="00B05E64"/>
    <w:rsid w:val="00B23B22"/>
    <w:rsid w:val="00B824FF"/>
    <w:rsid w:val="00BA12E2"/>
    <w:rsid w:val="00BB1955"/>
    <w:rsid w:val="00BE48FF"/>
    <w:rsid w:val="00BE4AC7"/>
    <w:rsid w:val="00C043F8"/>
    <w:rsid w:val="00C52FEE"/>
    <w:rsid w:val="00D069FF"/>
    <w:rsid w:val="00D65683"/>
    <w:rsid w:val="00D8201D"/>
    <w:rsid w:val="00DD16E9"/>
    <w:rsid w:val="00DD2ADC"/>
    <w:rsid w:val="00EE6E02"/>
    <w:rsid w:val="00F42EED"/>
    <w:rsid w:val="00F65C80"/>
    <w:rsid w:val="00FD61B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54</cp:revision>
  <cp:lastPrinted>2017-02-15T06:24:00Z</cp:lastPrinted>
  <dcterms:created xsi:type="dcterms:W3CDTF">2016-04-21T08:46:00Z</dcterms:created>
  <dcterms:modified xsi:type="dcterms:W3CDTF">2017-05-10T14:50:00Z</dcterms:modified>
</cp:coreProperties>
</file>