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D50" w:rsidRPr="003F0E8E" w:rsidRDefault="00DC0D50" w:rsidP="00DC0D50">
      <w:pPr>
        <w:spacing w:after="0" w:line="360" w:lineRule="auto"/>
        <w:jc w:val="center"/>
        <w:rPr>
          <w:rFonts w:ascii="GHEA Grapalat" w:hAnsi="GHEA Grapalat" w:cs="Sylfaen"/>
          <w:b/>
          <w:lang w:val="hy-AM"/>
        </w:rPr>
      </w:pPr>
      <w:r w:rsidRPr="003F0E8E">
        <w:rPr>
          <w:rFonts w:ascii="GHEA Grapalat" w:hAnsi="GHEA Grapalat" w:cs="Sylfaen"/>
          <w:b/>
        </w:rPr>
        <w:t>ՏԵՂԵԿԱՆՔ</w:t>
      </w:r>
    </w:p>
    <w:p w:rsidR="00DC0D50" w:rsidRPr="003F0E8E" w:rsidRDefault="00DC0D50" w:rsidP="00DC0D50">
      <w:pPr>
        <w:spacing w:after="0" w:line="360" w:lineRule="auto"/>
        <w:jc w:val="center"/>
        <w:rPr>
          <w:rFonts w:ascii="GHEA Grapalat" w:hAnsi="GHEA Grapalat"/>
          <w:b/>
          <w:lang w:val="hy-AM"/>
        </w:rPr>
      </w:pPr>
      <w:r w:rsidRPr="003F0E8E">
        <w:rPr>
          <w:rFonts w:ascii="GHEA Grapalat" w:hAnsi="GHEA Grapalat"/>
          <w:b/>
          <w:lang w:val="hy-AM"/>
        </w:rPr>
        <w:t>«</w:t>
      </w:r>
      <w:r w:rsidR="00D45121">
        <w:rPr>
          <w:rFonts w:ascii="GHEA Grapalat" w:hAnsi="GHEA Grapalat"/>
          <w:b/>
          <w:lang w:val="hy-AM"/>
        </w:rPr>
        <w:t xml:space="preserve">Մանուչարյանն </w:t>
      </w:r>
      <w:r w:rsidRPr="003F0E8E">
        <w:rPr>
          <w:rFonts w:ascii="GHEA Grapalat" w:hAnsi="GHEA Grapalat"/>
          <w:b/>
          <w:lang w:val="hy-AM"/>
        </w:rPr>
        <w:t>ընդդեմ Հայաստանի» թիվ</w:t>
      </w:r>
      <w:r w:rsidR="00D45121">
        <w:rPr>
          <w:rFonts w:ascii="GHEA Grapalat" w:hAnsi="GHEA Grapalat"/>
          <w:b/>
          <w:lang w:val="hy-AM"/>
        </w:rPr>
        <w:t xml:space="preserve"> 35688/11</w:t>
      </w:r>
      <w:r w:rsidRPr="003F0E8E">
        <w:rPr>
          <w:rFonts w:ascii="GHEA Grapalat" w:hAnsi="GHEA Grapalat"/>
          <w:b/>
          <w:lang w:val="hy-AM"/>
        </w:rPr>
        <w:t xml:space="preserve"> գործով </w:t>
      </w:r>
    </w:p>
    <w:p w:rsidR="00DC0D50" w:rsidRPr="003F0E8E" w:rsidRDefault="00DC0D50" w:rsidP="00DC0D50">
      <w:pPr>
        <w:spacing w:after="0" w:line="360" w:lineRule="auto"/>
        <w:jc w:val="center"/>
        <w:rPr>
          <w:rFonts w:ascii="GHEA Grapalat" w:hAnsi="GHEA Grapalat"/>
          <w:b/>
          <w:lang w:val="hy-AM"/>
        </w:rPr>
      </w:pPr>
      <w:r w:rsidRPr="003F0E8E">
        <w:rPr>
          <w:rFonts w:ascii="GHEA Grapalat" w:hAnsi="GHEA Grapalat"/>
          <w:b/>
          <w:lang w:val="hy-AM"/>
        </w:rPr>
        <w:t>Մարդու իրավունքների եվրոպական դատարանի կայացրած վճռի վերաբերյալ</w:t>
      </w:r>
    </w:p>
    <w:p w:rsidR="00DC0D50" w:rsidRPr="003F0E8E" w:rsidRDefault="00DC0D50" w:rsidP="00DC0D50">
      <w:pPr>
        <w:spacing w:after="0" w:line="360" w:lineRule="auto"/>
        <w:contextualSpacing/>
        <w:jc w:val="both"/>
        <w:rPr>
          <w:rFonts w:ascii="GHEA Grapalat" w:hAnsi="GHEA Grapalat"/>
          <w:b/>
          <w:lang w:val="hy-AM"/>
        </w:rPr>
      </w:pPr>
    </w:p>
    <w:p w:rsidR="00DC0D50" w:rsidRPr="003F0E8E" w:rsidRDefault="00DC0D50" w:rsidP="00DC0D50">
      <w:pPr>
        <w:spacing w:after="0" w:line="360" w:lineRule="auto"/>
        <w:ind w:firstLine="630"/>
        <w:contextualSpacing/>
        <w:rPr>
          <w:rFonts w:ascii="GHEA Grapalat" w:hAnsi="GHEA Grapalat"/>
          <w:b/>
          <w:lang w:val="hy-AM"/>
        </w:rPr>
      </w:pPr>
      <w:r w:rsidRPr="003F0E8E">
        <w:rPr>
          <w:rFonts w:ascii="GHEA Grapalat" w:hAnsi="GHEA Grapalat"/>
          <w:b/>
          <w:lang w:val="hy-AM"/>
        </w:rPr>
        <w:t>Գործի ելակետային տվյալները</w:t>
      </w:r>
    </w:p>
    <w:p w:rsidR="00DC0D50" w:rsidRPr="003F0E8E" w:rsidRDefault="00DC0D50" w:rsidP="00DC0D50">
      <w:pPr>
        <w:spacing w:after="0" w:line="360" w:lineRule="auto"/>
        <w:ind w:firstLine="630"/>
        <w:contextualSpacing/>
        <w:jc w:val="both"/>
        <w:rPr>
          <w:rFonts w:ascii="GHEA Grapalat" w:hAnsi="GHEA Grapalat"/>
          <w:lang w:val="hy-AM"/>
        </w:rPr>
      </w:pPr>
      <w:r w:rsidRPr="003F0E8E">
        <w:rPr>
          <w:rFonts w:ascii="GHEA Grapalat" w:hAnsi="GHEA Grapalat"/>
          <w:lang w:val="hy-AM"/>
        </w:rPr>
        <w:t>Մարդու իրավունքների եվրոպական դատարանը (այսուհետ՝</w:t>
      </w:r>
      <w:r w:rsidR="00D45121">
        <w:rPr>
          <w:rFonts w:ascii="GHEA Grapalat" w:hAnsi="GHEA Grapalat"/>
          <w:lang w:val="hy-AM"/>
        </w:rPr>
        <w:t xml:space="preserve"> </w:t>
      </w:r>
      <w:r w:rsidRPr="003F0E8E">
        <w:rPr>
          <w:rFonts w:ascii="GHEA Grapalat" w:hAnsi="GHEA Grapalat"/>
          <w:lang w:val="hy-AM"/>
        </w:rPr>
        <w:t>Եվրոպական դատարան) 2016 թվականի</w:t>
      </w:r>
      <w:r w:rsidR="00D45121">
        <w:rPr>
          <w:rFonts w:ascii="GHEA Grapalat" w:hAnsi="GHEA Grapalat"/>
          <w:lang w:val="hy-AM"/>
        </w:rPr>
        <w:t xml:space="preserve"> նոյեմբերի 24</w:t>
      </w:r>
      <w:r w:rsidRPr="003F0E8E">
        <w:rPr>
          <w:rFonts w:ascii="GHEA Grapalat" w:hAnsi="GHEA Grapalat"/>
          <w:lang w:val="hy-AM"/>
        </w:rPr>
        <w:t xml:space="preserve">-ին հրապարակել է </w:t>
      </w:r>
      <w:r w:rsidRPr="00F1461A">
        <w:rPr>
          <w:rFonts w:ascii="GHEA Grapalat" w:hAnsi="GHEA Grapalat"/>
          <w:i/>
          <w:lang w:val="hy-AM"/>
        </w:rPr>
        <w:t>«</w:t>
      </w:r>
      <w:r w:rsidR="00D45121" w:rsidRPr="00F1461A">
        <w:rPr>
          <w:rFonts w:ascii="GHEA Grapalat" w:hAnsi="GHEA Grapalat"/>
          <w:i/>
          <w:lang w:val="hy-AM"/>
        </w:rPr>
        <w:t xml:space="preserve">Մանուչարյանն </w:t>
      </w:r>
      <w:r w:rsidRPr="00F1461A">
        <w:rPr>
          <w:rFonts w:ascii="GHEA Grapalat" w:hAnsi="GHEA Grapalat"/>
          <w:i/>
          <w:lang w:val="hy-AM"/>
        </w:rPr>
        <w:t>ընդդեմ Հայաստանի»</w:t>
      </w:r>
      <w:r w:rsidRPr="003F0E8E">
        <w:rPr>
          <w:rFonts w:ascii="GHEA Grapalat" w:hAnsi="GHEA Grapalat"/>
          <w:lang w:val="hy-AM"/>
        </w:rPr>
        <w:t xml:space="preserve"> գործով վճիռը, որով արձանագրել է Մարդու իրավունքների եվրոպական կոնվենցիայի (այսուհետ՝ Կոնվենցիա) 6-րդ հոդվածի 1-ին կետի խախտում՝ զուգակցված 6-րդ հոդվածի 3-րդ կետի «դ» ենթակետի հետ, քանի որ դիմումատուն հնարավորություն չի ունեցել </w:t>
      </w:r>
      <w:r w:rsidR="00D45121">
        <w:rPr>
          <w:rFonts w:ascii="GHEA Grapalat" w:hAnsi="GHEA Grapalat"/>
          <w:lang w:val="hy-AM"/>
        </w:rPr>
        <w:t xml:space="preserve">հարցաքննելու </w:t>
      </w:r>
      <w:r w:rsidRPr="003F0E8E">
        <w:rPr>
          <w:rFonts w:ascii="GHEA Grapalat" w:hAnsi="GHEA Grapalat"/>
          <w:lang w:val="hy-AM"/>
        </w:rPr>
        <w:t>իր դեմ ցուցմունք տված վկաներին:</w:t>
      </w:r>
    </w:p>
    <w:p w:rsidR="00DC0D50" w:rsidRPr="003F0E8E" w:rsidRDefault="00DC0D50" w:rsidP="00DC0D50">
      <w:pPr>
        <w:spacing w:after="0" w:line="360" w:lineRule="auto"/>
        <w:ind w:firstLine="540"/>
        <w:contextualSpacing/>
        <w:rPr>
          <w:rFonts w:ascii="GHEA Grapalat" w:hAnsi="GHEA Grapalat"/>
          <w:b/>
          <w:lang w:val="hy-AM"/>
        </w:rPr>
      </w:pPr>
    </w:p>
    <w:p w:rsidR="00DC0D50" w:rsidRPr="003F0E8E" w:rsidRDefault="00DC0D50" w:rsidP="00DC0D50">
      <w:pPr>
        <w:spacing w:after="0" w:line="360" w:lineRule="auto"/>
        <w:ind w:firstLine="540"/>
        <w:contextualSpacing/>
        <w:rPr>
          <w:rFonts w:ascii="GHEA Grapalat" w:hAnsi="GHEA Grapalat"/>
          <w:b/>
          <w:lang w:val="hy-AM"/>
        </w:rPr>
      </w:pPr>
      <w:r w:rsidRPr="003F0E8E">
        <w:rPr>
          <w:rFonts w:ascii="GHEA Grapalat" w:hAnsi="GHEA Grapalat"/>
          <w:b/>
          <w:lang w:val="hy-AM"/>
        </w:rPr>
        <w:t>Գործի փաստական հանգամանքները</w:t>
      </w:r>
    </w:p>
    <w:p w:rsidR="006B7A50" w:rsidRDefault="00D45121" w:rsidP="006B7A50">
      <w:pPr>
        <w:pStyle w:val="ECHRPara"/>
        <w:widowControl w:val="0"/>
        <w:spacing w:line="353" w:lineRule="auto"/>
        <w:ind w:firstLine="540"/>
        <w:rPr>
          <w:rFonts w:ascii="GHEA Grapalat" w:hAnsi="GHEA Grapalat"/>
          <w:sz w:val="22"/>
        </w:rPr>
      </w:pPr>
      <w:r w:rsidRPr="00DD012B">
        <w:rPr>
          <w:rFonts w:ascii="GHEA Grapalat" w:hAnsi="GHEA Grapalat"/>
          <w:sz w:val="22"/>
        </w:rPr>
        <w:t xml:space="preserve">2009 թվականի հուլիսի 1-ին </w:t>
      </w:r>
      <w:r w:rsidR="00DD012B" w:rsidRPr="00DD012B">
        <w:rPr>
          <w:rFonts w:ascii="GHEA Grapalat" w:hAnsi="GHEA Grapalat"/>
          <w:sz w:val="22"/>
        </w:rPr>
        <w:t xml:space="preserve">սպանության փաստի առթիվ հարուցվել է </w:t>
      </w:r>
      <w:r w:rsidRPr="00DD012B">
        <w:rPr>
          <w:rFonts w:ascii="GHEA Grapalat" w:hAnsi="GHEA Grapalat"/>
          <w:sz w:val="22"/>
        </w:rPr>
        <w:t xml:space="preserve">քրեական գործ: </w:t>
      </w:r>
      <w:r w:rsidR="00BA5BA8">
        <w:rPr>
          <w:rFonts w:ascii="GHEA Grapalat" w:hAnsi="GHEA Grapalat"/>
          <w:sz w:val="22"/>
        </w:rPr>
        <w:t>Դ</w:t>
      </w:r>
      <w:r w:rsidRPr="00DD012B">
        <w:rPr>
          <w:rFonts w:ascii="GHEA Grapalat" w:hAnsi="GHEA Grapalat"/>
          <w:sz w:val="22"/>
        </w:rPr>
        <w:t>իմումատուն մեղայականով ներկայացել է ոստիկանություն, հանձնել իր զենքը</w:t>
      </w:r>
      <w:r w:rsidR="000C4C8E">
        <w:rPr>
          <w:rFonts w:ascii="GHEA Grapalat" w:hAnsi="GHEA Grapalat"/>
          <w:sz w:val="22"/>
        </w:rPr>
        <w:t xml:space="preserve"> և </w:t>
      </w:r>
      <w:r w:rsidRPr="00DD012B">
        <w:rPr>
          <w:rFonts w:ascii="GHEA Grapalat" w:hAnsi="GHEA Grapalat"/>
          <w:sz w:val="22"/>
        </w:rPr>
        <w:t xml:space="preserve">խոստովանել սպանությունը կատարած լինելու հանգամանքը: </w:t>
      </w:r>
      <w:r w:rsidR="006B7A50">
        <w:rPr>
          <w:rFonts w:ascii="GHEA Grapalat" w:hAnsi="GHEA Grapalat"/>
          <w:sz w:val="22"/>
        </w:rPr>
        <w:t>Դ</w:t>
      </w:r>
      <w:r w:rsidRPr="00BA5BA8">
        <w:rPr>
          <w:rFonts w:ascii="GHEA Grapalat" w:hAnsi="GHEA Grapalat"/>
          <w:sz w:val="22"/>
        </w:rPr>
        <w:t xml:space="preserve">իմումատուին մեղադրանք է առաջադրվել սպանություն կատարելու </w:t>
      </w:r>
      <w:r w:rsidR="000C4C8E">
        <w:rPr>
          <w:rFonts w:ascii="GHEA Grapalat" w:hAnsi="GHEA Grapalat"/>
          <w:sz w:val="22"/>
        </w:rPr>
        <w:t>և</w:t>
      </w:r>
      <w:r w:rsidRPr="00BA5BA8">
        <w:rPr>
          <w:rFonts w:ascii="GHEA Grapalat" w:hAnsi="GHEA Grapalat"/>
          <w:sz w:val="22"/>
        </w:rPr>
        <w:t xml:space="preserve"> ապօրինի կերպով հրազեն պահելու</w:t>
      </w:r>
      <w:r w:rsidR="00645C80">
        <w:rPr>
          <w:rFonts w:ascii="GHEA Grapalat" w:hAnsi="GHEA Grapalat"/>
          <w:sz w:val="22"/>
        </w:rPr>
        <w:t xml:space="preserve"> համար</w:t>
      </w:r>
      <w:r w:rsidRPr="00BA5BA8">
        <w:rPr>
          <w:rFonts w:ascii="GHEA Grapalat" w:hAnsi="GHEA Grapalat"/>
          <w:sz w:val="22"/>
        </w:rPr>
        <w:t>:</w:t>
      </w:r>
      <w:r w:rsidRPr="00DD012B">
        <w:rPr>
          <w:rFonts w:ascii="GHEA Grapalat" w:hAnsi="GHEA Grapalat"/>
          <w:sz w:val="22"/>
        </w:rPr>
        <w:t xml:space="preserve"> </w:t>
      </w:r>
    </w:p>
    <w:p w:rsidR="00BA5BA8" w:rsidRDefault="00D45121" w:rsidP="006B7A50">
      <w:pPr>
        <w:pStyle w:val="ECHRPara"/>
        <w:widowControl w:val="0"/>
        <w:spacing w:line="353" w:lineRule="auto"/>
        <w:ind w:firstLine="540"/>
        <w:rPr>
          <w:rFonts w:ascii="GHEA Grapalat" w:hAnsi="GHEA Grapalat"/>
          <w:sz w:val="22"/>
        </w:rPr>
      </w:pPr>
      <w:r w:rsidRPr="00DD012B">
        <w:rPr>
          <w:rFonts w:ascii="GHEA Grapalat" w:hAnsi="GHEA Grapalat"/>
          <w:sz w:val="22"/>
        </w:rPr>
        <w:t xml:space="preserve">Նույն օրը ոստիկանությունը հարցաքննել է տուժողի ընկերուհուն: Նա հայտնել է, որ ականատես է եղել, թե ինչպես դիմումատուն՝ իր </w:t>
      </w:r>
      <w:r w:rsidR="000C4C8E">
        <w:rPr>
          <w:rFonts w:ascii="GHEA Grapalat" w:hAnsi="GHEA Grapalat"/>
          <w:sz w:val="22"/>
        </w:rPr>
        <w:t>հարև</w:t>
      </w:r>
      <w:r w:rsidRPr="00DD012B">
        <w:rPr>
          <w:rFonts w:ascii="GHEA Grapalat" w:hAnsi="GHEA Grapalat"/>
          <w:sz w:val="22"/>
        </w:rPr>
        <w:t>անը, կրակ</w:t>
      </w:r>
      <w:r w:rsidR="00645C80">
        <w:rPr>
          <w:rFonts w:ascii="GHEA Grapalat" w:hAnsi="GHEA Grapalat"/>
          <w:sz w:val="22"/>
        </w:rPr>
        <w:t>ել է</w:t>
      </w:r>
      <w:r w:rsidRPr="00DD012B">
        <w:rPr>
          <w:rFonts w:ascii="GHEA Grapalat" w:hAnsi="GHEA Grapalat"/>
          <w:sz w:val="22"/>
        </w:rPr>
        <w:t xml:space="preserve"> իր ընկերոջ ավտոմեքենայի վրա և սպանել նրան:</w:t>
      </w:r>
      <w:r w:rsidR="005D7DFC" w:rsidRPr="00DD012B">
        <w:rPr>
          <w:rFonts w:ascii="GHEA Grapalat" w:hAnsi="GHEA Grapalat"/>
          <w:sz w:val="22"/>
        </w:rPr>
        <w:t xml:space="preserve"> </w:t>
      </w:r>
    </w:p>
    <w:p w:rsidR="00BA5BA8" w:rsidRDefault="00D45121" w:rsidP="005D7DFC">
      <w:pPr>
        <w:pStyle w:val="ECHRPara"/>
        <w:widowControl w:val="0"/>
        <w:spacing w:line="353" w:lineRule="auto"/>
        <w:ind w:firstLine="540"/>
        <w:rPr>
          <w:rFonts w:ascii="GHEA Grapalat" w:hAnsi="GHEA Grapalat"/>
          <w:sz w:val="22"/>
        </w:rPr>
      </w:pPr>
      <w:r w:rsidRPr="00DD012B">
        <w:rPr>
          <w:rFonts w:ascii="GHEA Grapalat" w:hAnsi="GHEA Grapalat"/>
          <w:sz w:val="22"/>
        </w:rPr>
        <w:t xml:space="preserve">2009 թվականի հուլիսի 3-ին դիմումատուն հարցաքննվել է: Նա առաջադրված մեղադրանքում իրեն մեղավոր չի ճանաչել </w:t>
      </w:r>
      <w:r w:rsidR="000C4C8E">
        <w:rPr>
          <w:rFonts w:ascii="GHEA Grapalat" w:hAnsi="GHEA Grapalat"/>
          <w:sz w:val="22"/>
        </w:rPr>
        <w:t>և</w:t>
      </w:r>
      <w:r w:rsidRPr="00DD012B">
        <w:rPr>
          <w:rFonts w:ascii="GHEA Grapalat" w:hAnsi="GHEA Grapalat"/>
          <w:sz w:val="22"/>
        </w:rPr>
        <w:t xml:space="preserve"> հրաժարվել է ցուցմունք տալուց:</w:t>
      </w:r>
      <w:r w:rsidR="005D7DFC" w:rsidRPr="00DD012B">
        <w:rPr>
          <w:rFonts w:ascii="GHEA Grapalat" w:hAnsi="GHEA Grapalat"/>
          <w:sz w:val="22"/>
        </w:rPr>
        <w:t xml:space="preserve"> </w:t>
      </w:r>
    </w:p>
    <w:p w:rsidR="005D7DFC" w:rsidRPr="00DD012B" w:rsidRDefault="00D45121" w:rsidP="005D7DFC">
      <w:pPr>
        <w:pStyle w:val="ECHRPara"/>
        <w:widowControl w:val="0"/>
        <w:spacing w:line="353" w:lineRule="auto"/>
        <w:ind w:firstLine="540"/>
        <w:rPr>
          <w:rFonts w:ascii="GHEA Grapalat" w:hAnsi="GHEA Grapalat"/>
          <w:sz w:val="22"/>
        </w:rPr>
      </w:pPr>
      <w:r w:rsidRPr="00DD012B">
        <w:rPr>
          <w:rFonts w:ascii="GHEA Grapalat" w:hAnsi="GHEA Grapalat"/>
          <w:sz w:val="22"/>
        </w:rPr>
        <w:t>2010 թվականի մարտի</w:t>
      </w:r>
      <w:r w:rsidR="005D7DFC" w:rsidRPr="00DD012B">
        <w:rPr>
          <w:rFonts w:ascii="GHEA Grapalat" w:hAnsi="GHEA Grapalat"/>
          <w:sz w:val="22"/>
        </w:rPr>
        <w:t xml:space="preserve">ն </w:t>
      </w:r>
      <w:r w:rsidRPr="00DD012B">
        <w:rPr>
          <w:rFonts w:ascii="GHEA Grapalat" w:hAnsi="GHEA Grapalat"/>
          <w:sz w:val="22"/>
        </w:rPr>
        <w:t>կայացած լրացուցիչ հարցաքննության ժամանակ դիմումատուն հայտնել է, որ խոստովանել է սպանությունը կատարելու հանգամանքը</w:t>
      </w:r>
      <w:r w:rsidR="005D7DFC" w:rsidRPr="00DD012B">
        <w:rPr>
          <w:rFonts w:ascii="GHEA Grapalat" w:hAnsi="GHEA Grapalat"/>
          <w:sz w:val="22"/>
        </w:rPr>
        <w:t>՝ եղբոր արարքը քողարկելու համար:</w:t>
      </w:r>
      <w:r w:rsidRPr="00DD012B">
        <w:rPr>
          <w:rFonts w:ascii="GHEA Grapalat" w:hAnsi="GHEA Grapalat"/>
          <w:sz w:val="22"/>
        </w:rPr>
        <w:t xml:space="preserve"> </w:t>
      </w:r>
    </w:p>
    <w:p w:rsidR="00DD012B" w:rsidRPr="00DD012B" w:rsidRDefault="005D7DFC" w:rsidP="00DD012B">
      <w:pPr>
        <w:pStyle w:val="ECHRPara"/>
        <w:widowControl w:val="0"/>
        <w:tabs>
          <w:tab w:val="left" w:pos="1134"/>
        </w:tabs>
        <w:spacing w:line="360" w:lineRule="auto"/>
        <w:ind w:firstLine="567"/>
        <w:rPr>
          <w:rFonts w:ascii="GHEA Grapalat" w:hAnsi="GHEA Grapalat"/>
          <w:sz w:val="22"/>
        </w:rPr>
      </w:pPr>
      <w:r w:rsidRPr="00DD012B">
        <w:rPr>
          <w:rFonts w:ascii="GHEA Grapalat" w:hAnsi="GHEA Grapalat"/>
          <w:sz w:val="22"/>
        </w:rPr>
        <w:t xml:space="preserve">2010 թվականի ապրիլին </w:t>
      </w:r>
      <w:r w:rsidR="00D45121" w:rsidRPr="00DD012B">
        <w:rPr>
          <w:rFonts w:ascii="GHEA Grapalat" w:hAnsi="GHEA Grapalat"/>
          <w:sz w:val="22"/>
        </w:rPr>
        <w:t xml:space="preserve">գործը դատաքննության նպատակով ուղարկվել է </w:t>
      </w:r>
      <w:r w:rsidR="006B7A50">
        <w:rPr>
          <w:rFonts w:ascii="GHEA Grapalat" w:hAnsi="GHEA Grapalat"/>
          <w:sz w:val="22"/>
        </w:rPr>
        <w:t xml:space="preserve">ՀՀ </w:t>
      </w:r>
      <w:r w:rsidR="00D45121" w:rsidRPr="00DD012B">
        <w:rPr>
          <w:rFonts w:ascii="GHEA Grapalat" w:hAnsi="GHEA Grapalat"/>
          <w:sz w:val="22"/>
        </w:rPr>
        <w:t>Լոռու մարզի ընդհանուր իրավասության առաջին ատյանի դատարան</w:t>
      </w:r>
      <w:r w:rsidR="006770E5" w:rsidRPr="00DD012B">
        <w:rPr>
          <w:rFonts w:ascii="GHEA Grapalat" w:hAnsi="GHEA Grapalat"/>
          <w:sz w:val="22"/>
        </w:rPr>
        <w:t xml:space="preserve">: </w:t>
      </w:r>
      <w:r w:rsidR="00BA5BA8">
        <w:rPr>
          <w:rFonts w:ascii="GHEA Grapalat" w:hAnsi="GHEA Grapalat"/>
          <w:sz w:val="22"/>
        </w:rPr>
        <w:t xml:space="preserve">Առաջին ատյանի </w:t>
      </w:r>
      <w:r w:rsidR="00BA5BA8" w:rsidRPr="00BA5BA8">
        <w:rPr>
          <w:rFonts w:ascii="GHEA Grapalat" w:hAnsi="GHEA Grapalat"/>
          <w:sz w:val="22"/>
        </w:rPr>
        <w:t xml:space="preserve">դատարանը մի քանի անգամ հետաձգել է լսումները՝ փորձելով ապահովել </w:t>
      </w:r>
      <w:r w:rsidR="00BA5BA8">
        <w:rPr>
          <w:rFonts w:ascii="GHEA Grapalat" w:hAnsi="GHEA Grapalat"/>
          <w:sz w:val="22"/>
        </w:rPr>
        <w:t xml:space="preserve">տուժողի ընկերուհու </w:t>
      </w:r>
      <w:r w:rsidR="00BA5BA8" w:rsidRPr="00BA5BA8">
        <w:rPr>
          <w:rFonts w:ascii="GHEA Grapalat" w:hAnsi="GHEA Grapalat"/>
          <w:sz w:val="22"/>
        </w:rPr>
        <w:t xml:space="preserve">ներկայությունը դիմումատուի գործով դատաքննությանը, ինչպես </w:t>
      </w:r>
      <w:r w:rsidR="000C4C8E">
        <w:rPr>
          <w:rFonts w:ascii="GHEA Grapalat" w:hAnsi="GHEA Grapalat"/>
          <w:sz w:val="22"/>
        </w:rPr>
        <w:t>նաև</w:t>
      </w:r>
      <w:r w:rsidR="00BA5BA8" w:rsidRPr="00BA5BA8">
        <w:rPr>
          <w:rFonts w:ascii="GHEA Grapalat" w:hAnsi="GHEA Grapalat"/>
          <w:sz w:val="22"/>
        </w:rPr>
        <w:t xml:space="preserve"> այդ հարցում դիմել է ոստիկանության աջակցությանը</w:t>
      </w:r>
      <w:r w:rsidR="00BA5BA8">
        <w:rPr>
          <w:rFonts w:ascii="GHEA Grapalat" w:hAnsi="GHEA Grapalat"/>
          <w:sz w:val="22"/>
        </w:rPr>
        <w:t>:</w:t>
      </w:r>
      <w:r w:rsidR="00BA5BA8" w:rsidRPr="00BA5BA8">
        <w:rPr>
          <w:rFonts w:ascii="GHEA Grapalat" w:hAnsi="GHEA Grapalat"/>
          <w:sz w:val="22"/>
        </w:rPr>
        <w:t xml:space="preserve"> </w:t>
      </w:r>
      <w:r w:rsidR="006B7A50">
        <w:rPr>
          <w:rFonts w:ascii="GHEA Grapalat" w:hAnsi="GHEA Grapalat"/>
          <w:sz w:val="22"/>
        </w:rPr>
        <w:t>Ո</w:t>
      </w:r>
      <w:r w:rsidR="00BA5BA8">
        <w:rPr>
          <w:rFonts w:ascii="GHEA Grapalat" w:hAnsi="GHEA Grapalat"/>
          <w:sz w:val="22"/>
        </w:rPr>
        <w:t xml:space="preserve">ստիկանությանն անընդմեջ չի հաջողվել կատարել տուժողի ընկերուհուն բերման ենթարկելու վերաբերյալ դատարանի </w:t>
      </w:r>
      <w:r w:rsidR="00BA5BA8">
        <w:rPr>
          <w:rFonts w:ascii="GHEA Grapalat" w:hAnsi="GHEA Grapalat"/>
          <w:sz w:val="22"/>
        </w:rPr>
        <w:lastRenderedPageBreak/>
        <w:t>կարգադրությունները</w:t>
      </w:r>
      <w:r w:rsidR="00BA5BA8" w:rsidRPr="00BA5BA8">
        <w:rPr>
          <w:rFonts w:ascii="GHEA Grapalat" w:hAnsi="GHEA Grapalat"/>
          <w:sz w:val="22"/>
        </w:rPr>
        <w:t>,</w:t>
      </w:r>
      <w:r w:rsidR="00BA5BA8">
        <w:rPr>
          <w:rFonts w:ascii="GHEA Grapalat" w:hAnsi="GHEA Grapalat"/>
          <w:sz w:val="22"/>
        </w:rPr>
        <w:t xml:space="preserve"> </w:t>
      </w:r>
      <w:r w:rsidR="00BA5BA8" w:rsidRPr="00BA5BA8">
        <w:rPr>
          <w:rFonts w:ascii="GHEA Grapalat" w:hAnsi="GHEA Grapalat"/>
          <w:sz w:val="22"/>
        </w:rPr>
        <w:t>քանի որ նրա գտնվելու վայրը հնարավոր չի եղել պարզել</w:t>
      </w:r>
      <w:r w:rsidR="00BA5BA8">
        <w:rPr>
          <w:rFonts w:ascii="GHEA Grapalat" w:hAnsi="GHEA Grapalat"/>
          <w:sz w:val="22"/>
        </w:rPr>
        <w:t>.</w:t>
      </w:r>
      <w:r w:rsidR="00BA5BA8" w:rsidRPr="00BA5BA8">
        <w:rPr>
          <w:rFonts w:ascii="GHEA Grapalat" w:hAnsi="GHEA Grapalat"/>
          <w:sz w:val="22"/>
        </w:rPr>
        <w:t xml:space="preserve"> ենթադրվում է, որ նա մեկնել է</w:t>
      </w:r>
      <w:r w:rsidR="004A73A3">
        <w:rPr>
          <w:rFonts w:ascii="GHEA Grapalat" w:hAnsi="GHEA Grapalat"/>
          <w:sz w:val="22"/>
        </w:rPr>
        <w:t>ր</w:t>
      </w:r>
      <w:r w:rsidR="00BA5BA8" w:rsidRPr="00BA5BA8">
        <w:rPr>
          <w:rFonts w:ascii="GHEA Grapalat" w:hAnsi="GHEA Grapalat"/>
          <w:sz w:val="22"/>
        </w:rPr>
        <w:t xml:space="preserve"> երկրից:</w:t>
      </w:r>
      <w:r w:rsidR="00BA5BA8" w:rsidRPr="00BA5BA8">
        <w:rPr>
          <w:rFonts w:ascii="GHEA Grapalat" w:hAnsi="GHEA Grapalat"/>
          <w:szCs w:val="24"/>
        </w:rPr>
        <w:t xml:space="preserve"> </w:t>
      </w:r>
      <w:r w:rsidR="005F0E0C" w:rsidRPr="00DD012B">
        <w:rPr>
          <w:rFonts w:ascii="GHEA Grapalat" w:hAnsi="GHEA Grapalat"/>
          <w:sz w:val="22"/>
        </w:rPr>
        <w:t>Ի վերջո,</w:t>
      </w:r>
      <w:r w:rsidR="00A86780" w:rsidRPr="00DD012B">
        <w:rPr>
          <w:rFonts w:ascii="GHEA Grapalat" w:hAnsi="GHEA Grapalat"/>
          <w:sz w:val="22"/>
        </w:rPr>
        <w:t xml:space="preserve"> առաջին ատյանի</w:t>
      </w:r>
      <w:r w:rsidR="00D45121" w:rsidRPr="00DD012B">
        <w:rPr>
          <w:rFonts w:ascii="GHEA Grapalat" w:hAnsi="GHEA Grapalat"/>
          <w:sz w:val="22"/>
        </w:rPr>
        <w:t xml:space="preserve"> </w:t>
      </w:r>
      <w:r w:rsidR="00645C80">
        <w:rPr>
          <w:rFonts w:ascii="GHEA Grapalat" w:hAnsi="GHEA Grapalat"/>
          <w:sz w:val="22"/>
        </w:rPr>
        <w:t>դատարանը</w:t>
      </w:r>
      <w:r w:rsidR="00D45121" w:rsidRPr="00DD012B">
        <w:rPr>
          <w:rFonts w:ascii="GHEA Grapalat" w:hAnsi="GHEA Grapalat"/>
          <w:sz w:val="22"/>
        </w:rPr>
        <w:t xml:space="preserve"> </w:t>
      </w:r>
      <w:r w:rsidR="000230AF">
        <w:rPr>
          <w:rFonts w:ascii="GHEA Grapalat" w:hAnsi="GHEA Grapalat"/>
          <w:sz w:val="22"/>
        </w:rPr>
        <w:t>դիմումատուի</w:t>
      </w:r>
      <w:r w:rsidR="000230AF" w:rsidRPr="00DD012B">
        <w:rPr>
          <w:rFonts w:ascii="GHEA Grapalat" w:hAnsi="GHEA Grapalat"/>
          <w:sz w:val="22"/>
        </w:rPr>
        <w:t xml:space="preserve"> գործը </w:t>
      </w:r>
      <w:r w:rsidR="00D45121" w:rsidRPr="00DD012B">
        <w:rPr>
          <w:rFonts w:ascii="GHEA Grapalat" w:hAnsi="GHEA Grapalat"/>
          <w:sz w:val="22"/>
        </w:rPr>
        <w:t xml:space="preserve">քննել է </w:t>
      </w:r>
      <w:r w:rsidR="00BA5BA8">
        <w:rPr>
          <w:rFonts w:ascii="GHEA Grapalat" w:hAnsi="GHEA Grapalat"/>
          <w:sz w:val="22"/>
        </w:rPr>
        <w:t>տուժող</w:t>
      </w:r>
      <w:r w:rsidR="00A86780" w:rsidRPr="00DD012B">
        <w:rPr>
          <w:rFonts w:ascii="GHEA Grapalat" w:hAnsi="GHEA Grapalat"/>
          <w:sz w:val="22"/>
        </w:rPr>
        <w:t>ի ընկերուհու բացակայությամբ</w:t>
      </w:r>
      <w:r w:rsidR="00880242" w:rsidRPr="00DD012B">
        <w:rPr>
          <w:rFonts w:ascii="GHEA Grapalat" w:hAnsi="GHEA Grapalat"/>
          <w:sz w:val="22"/>
        </w:rPr>
        <w:t xml:space="preserve"> և դիմումատուին ճանաչել մեղավոր՝ </w:t>
      </w:r>
      <w:r w:rsidR="00645C80">
        <w:rPr>
          <w:rFonts w:ascii="GHEA Grapalat" w:hAnsi="GHEA Grapalat"/>
          <w:sz w:val="22"/>
        </w:rPr>
        <w:t xml:space="preserve">դատապարտելով </w:t>
      </w:r>
      <w:r w:rsidR="00880242" w:rsidRPr="00DD012B">
        <w:rPr>
          <w:rFonts w:ascii="GHEA Grapalat" w:hAnsi="GHEA Grapalat"/>
          <w:sz w:val="22"/>
        </w:rPr>
        <w:t>տասներեք տարի</w:t>
      </w:r>
      <w:r w:rsidR="00BA5BA8">
        <w:rPr>
          <w:rFonts w:ascii="GHEA Grapalat" w:hAnsi="GHEA Grapalat"/>
          <w:sz w:val="22"/>
        </w:rPr>
        <w:t xml:space="preserve"> </w:t>
      </w:r>
      <w:r w:rsidR="00880242" w:rsidRPr="00DD012B">
        <w:rPr>
          <w:rFonts w:ascii="GHEA Grapalat" w:hAnsi="GHEA Grapalat"/>
          <w:sz w:val="22"/>
        </w:rPr>
        <w:t>ազատազրկման</w:t>
      </w:r>
      <w:r w:rsidR="00D45121" w:rsidRPr="00DD012B">
        <w:rPr>
          <w:rFonts w:ascii="GHEA Grapalat" w:hAnsi="GHEA Grapalat"/>
          <w:sz w:val="22"/>
        </w:rPr>
        <w:t>:</w:t>
      </w:r>
      <w:r w:rsidR="006D0E3C" w:rsidRPr="00DD012B">
        <w:rPr>
          <w:rFonts w:ascii="GHEA Grapalat" w:hAnsi="GHEA Grapalat"/>
          <w:sz w:val="22"/>
        </w:rPr>
        <w:t xml:space="preserve"> Դիմումատուին դատապարտելիս առաջին ատյանի դատարանը հիմնվել է</w:t>
      </w:r>
      <w:r w:rsidR="00DD012B" w:rsidRPr="00DD012B">
        <w:rPr>
          <w:rFonts w:ascii="GHEA Grapalat" w:hAnsi="GHEA Grapalat"/>
          <w:sz w:val="22"/>
        </w:rPr>
        <w:t xml:space="preserve"> </w:t>
      </w:r>
      <w:r w:rsidR="006D0E3C" w:rsidRPr="00DD012B">
        <w:rPr>
          <w:rFonts w:ascii="GHEA Grapalat" w:hAnsi="GHEA Grapalat"/>
          <w:sz w:val="22"/>
        </w:rPr>
        <w:t>տուժողի ընկերուհու</w:t>
      </w:r>
      <w:r w:rsidR="00933BE8" w:rsidRPr="00DD012B">
        <w:rPr>
          <w:rFonts w:ascii="GHEA Grapalat" w:hAnsi="GHEA Grapalat"/>
          <w:sz w:val="22"/>
        </w:rPr>
        <w:t xml:space="preserve"> և </w:t>
      </w:r>
      <w:r w:rsidR="006D0E3C" w:rsidRPr="00DD012B">
        <w:rPr>
          <w:rFonts w:ascii="GHEA Grapalat" w:hAnsi="GHEA Grapalat"/>
          <w:sz w:val="22"/>
        </w:rPr>
        <w:t>նրա ընտանիքի անդամների</w:t>
      </w:r>
      <w:r w:rsidR="00933BE8" w:rsidRPr="00DD012B">
        <w:rPr>
          <w:rFonts w:ascii="GHEA Grapalat" w:hAnsi="GHEA Grapalat"/>
          <w:sz w:val="22"/>
        </w:rPr>
        <w:t>, ինչպես նաև դիմումատուի հոր ընկերոջ մինչդատական ցուցմունքների</w:t>
      </w:r>
      <w:r w:rsidR="00DD012B" w:rsidRPr="00DD012B">
        <w:rPr>
          <w:rFonts w:ascii="GHEA Grapalat" w:hAnsi="GHEA Grapalat"/>
          <w:sz w:val="22"/>
        </w:rPr>
        <w:t xml:space="preserve"> վրա</w:t>
      </w:r>
      <w:r w:rsidR="00933BE8" w:rsidRPr="00DD012B">
        <w:rPr>
          <w:rFonts w:ascii="GHEA Grapalat" w:hAnsi="GHEA Grapalat"/>
          <w:sz w:val="22"/>
        </w:rPr>
        <w:t>, ում նա վկայակոչել էր սպանության գիշերն իր այլուրեքությունը հաստատելու համար,</w:t>
      </w:r>
      <w:r w:rsidR="00DD012B" w:rsidRPr="00DD012B">
        <w:rPr>
          <w:rFonts w:ascii="GHEA Grapalat" w:hAnsi="GHEA Grapalat"/>
          <w:sz w:val="22"/>
        </w:rPr>
        <w:t xml:space="preserve"> </w:t>
      </w:r>
      <w:r w:rsidR="00933BE8" w:rsidRPr="00DD012B">
        <w:rPr>
          <w:rFonts w:ascii="GHEA Grapalat" w:hAnsi="GHEA Grapalat"/>
          <w:sz w:val="22"/>
        </w:rPr>
        <w:t xml:space="preserve">դատաբժշկական փորձաքննության վրա, որով հաստատվել էր </w:t>
      </w:r>
      <w:r w:rsidR="006D0E3C" w:rsidRPr="00DD012B">
        <w:rPr>
          <w:rFonts w:ascii="GHEA Grapalat" w:hAnsi="GHEA Grapalat"/>
          <w:sz w:val="22"/>
        </w:rPr>
        <w:t>դեպքի օրը դիմումատուի հագին եղած հագուստի վրա կրակոցի</w:t>
      </w:r>
      <w:r w:rsidR="00933BE8" w:rsidRPr="00DD012B">
        <w:rPr>
          <w:rFonts w:ascii="GHEA Grapalat" w:hAnsi="GHEA Grapalat"/>
          <w:sz w:val="22"/>
        </w:rPr>
        <w:t xml:space="preserve"> հետքերի առկայությունը: </w:t>
      </w:r>
    </w:p>
    <w:p w:rsidR="00DD012B" w:rsidRPr="00DD012B" w:rsidRDefault="00645C80" w:rsidP="00DD012B">
      <w:pPr>
        <w:pStyle w:val="ECHRPara"/>
        <w:widowControl w:val="0"/>
        <w:tabs>
          <w:tab w:val="left" w:pos="1134"/>
        </w:tabs>
        <w:spacing w:line="360" w:lineRule="auto"/>
        <w:ind w:firstLine="567"/>
        <w:rPr>
          <w:rFonts w:ascii="GHEA Grapalat" w:hAnsi="GHEA Grapalat"/>
          <w:sz w:val="22"/>
        </w:rPr>
      </w:pPr>
      <w:r>
        <w:rPr>
          <w:rFonts w:ascii="GHEA Grapalat" w:hAnsi="GHEA Grapalat"/>
          <w:sz w:val="22"/>
        </w:rPr>
        <w:t xml:space="preserve">2011 թվականի հունվարին </w:t>
      </w:r>
      <w:r w:rsidR="00D45121" w:rsidRPr="00DD012B">
        <w:rPr>
          <w:rFonts w:ascii="GHEA Grapalat" w:hAnsi="GHEA Grapalat"/>
          <w:sz w:val="22"/>
        </w:rPr>
        <w:t xml:space="preserve">Վերաքննիչ դատարանը </w:t>
      </w:r>
      <w:r w:rsidR="00DD012B" w:rsidRPr="00DD012B">
        <w:rPr>
          <w:rFonts w:ascii="GHEA Grapalat" w:hAnsi="GHEA Grapalat"/>
          <w:sz w:val="22"/>
        </w:rPr>
        <w:t xml:space="preserve">առաջին ատյանի դատարանի դատավճիռը թողել է </w:t>
      </w:r>
      <w:r w:rsidR="00D45121" w:rsidRPr="00DD012B">
        <w:rPr>
          <w:rFonts w:ascii="GHEA Grapalat" w:hAnsi="GHEA Grapalat"/>
          <w:sz w:val="22"/>
        </w:rPr>
        <w:t xml:space="preserve">անփոփոխ՝ </w:t>
      </w:r>
      <w:r>
        <w:rPr>
          <w:rFonts w:ascii="GHEA Grapalat" w:hAnsi="GHEA Grapalat"/>
          <w:sz w:val="22"/>
        </w:rPr>
        <w:t xml:space="preserve">հիմնվելով </w:t>
      </w:r>
      <w:r w:rsidR="00D45121" w:rsidRPr="00DD012B">
        <w:rPr>
          <w:rFonts w:ascii="GHEA Grapalat" w:hAnsi="GHEA Grapalat"/>
          <w:sz w:val="22"/>
        </w:rPr>
        <w:t xml:space="preserve">նույն </w:t>
      </w:r>
      <w:r>
        <w:rPr>
          <w:rFonts w:ascii="GHEA Grapalat" w:hAnsi="GHEA Grapalat"/>
          <w:sz w:val="22"/>
        </w:rPr>
        <w:t>ապացույցների վրա</w:t>
      </w:r>
      <w:r w:rsidR="00DD012B" w:rsidRPr="00DD012B">
        <w:rPr>
          <w:rFonts w:ascii="GHEA Grapalat" w:hAnsi="GHEA Grapalat"/>
          <w:sz w:val="22"/>
        </w:rPr>
        <w:t xml:space="preserve"> և չանդրադառնալով տուժողի ընկերուհու</w:t>
      </w:r>
      <w:r w:rsidR="00D45121" w:rsidRPr="00DD012B">
        <w:rPr>
          <w:rFonts w:ascii="GHEA Grapalat" w:hAnsi="GHEA Grapalat"/>
          <w:sz w:val="22"/>
        </w:rPr>
        <w:t xml:space="preserve"> դատարան չներկայանալու հարցին:</w:t>
      </w:r>
    </w:p>
    <w:p w:rsidR="00D45121" w:rsidRPr="00DD012B" w:rsidRDefault="00645C80" w:rsidP="00DD012B">
      <w:pPr>
        <w:pStyle w:val="ECHRPara"/>
        <w:widowControl w:val="0"/>
        <w:tabs>
          <w:tab w:val="left" w:pos="1134"/>
        </w:tabs>
        <w:spacing w:line="360" w:lineRule="auto"/>
        <w:ind w:firstLine="567"/>
        <w:rPr>
          <w:rFonts w:ascii="GHEA Grapalat" w:hAnsi="GHEA Grapalat"/>
          <w:sz w:val="22"/>
        </w:rPr>
      </w:pPr>
      <w:r>
        <w:rPr>
          <w:rFonts w:ascii="GHEA Grapalat" w:hAnsi="GHEA Grapalat"/>
          <w:sz w:val="22"/>
        </w:rPr>
        <w:t xml:space="preserve">2011 թվականի ապրիլին </w:t>
      </w:r>
      <w:r w:rsidR="00D45121" w:rsidRPr="00DD012B">
        <w:rPr>
          <w:rFonts w:ascii="GHEA Grapalat" w:hAnsi="GHEA Grapalat"/>
          <w:sz w:val="22"/>
        </w:rPr>
        <w:t>Վճռաբեկ դատարանը հիմքերի բացակայության պատճառով վերադարձրել է վճռաբեկ բողոքը:</w:t>
      </w:r>
    </w:p>
    <w:p w:rsidR="00DD012B" w:rsidRPr="00DD012B" w:rsidRDefault="00DD012B" w:rsidP="00645C80">
      <w:pPr>
        <w:spacing w:after="0" w:line="360" w:lineRule="auto"/>
        <w:contextualSpacing/>
        <w:jc w:val="both"/>
        <w:rPr>
          <w:rFonts w:ascii="GHEA Grapalat" w:hAnsi="GHEA Grapalat"/>
          <w:b/>
          <w:lang w:val="hy-AM"/>
        </w:rPr>
      </w:pPr>
    </w:p>
    <w:p w:rsidR="00DC0D50" w:rsidRPr="003F0E8E" w:rsidRDefault="00DC0D50" w:rsidP="00DD012B">
      <w:pPr>
        <w:spacing w:after="0" w:line="360" w:lineRule="auto"/>
        <w:ind w:firstLine="562"/>
        <w:contextualSpacing/>
        <w:jc w:val="both"/>
        <w:rPr>
          <w:rFonts w:ascii="GHEA Grapalat" w:hAnsi="GHEA Grapalat"/>
          <w:b/>
          <w:lang w:val="hy-AM"/>
        </w:rPr>
      </w:pPr>
      <w:r w:rsidRPr="003F0E8E">
        <w:rPr>
          <w:rFonts w:ascii="GHEA Grapalat" w:hAnsi="GHEA Grapalat"/>
          <w:b/>
          <w:lang w:val="hy-AM"/>
        </w:rPr>
        <w:t>Սույն գործով Եվրոպական դատարանն արձանագրել է, որ խախտվել է</w:t>
      </w:r>
      <w:r w:rsidRPr="003F0E8E">
        <w:rPr>
          <w:rFonts w:ascii="Sylfaen" w:hAnsi="Sylfaen" w:cs="Sylfaen"/>
          <w:lang w:val="hy-AM"/>
        </w:rPr>
        <w:t xml:space="preserve"> </w:t>
      </w:r>
      <w:r w:rsidRPr="003F0E8E">
        <w:rPr>
          <w:rFonts w:ascii="GHEA Grapalat" w:hAnsi="GHEA Grapalat"/>
          <w:b/>
          <w:lang w:val="hy-AM"/>
        </w:rPr>
        <w:t>Կոնվենցիայի 6-րդ հոդվածի 1-ին կետը՝ 6-րդ հոդվածի 3-րդ կետի «դ» ենթակետի զուգակցմամբ:</w:t>
      </w:r>
    </w:p>
    <w:p w:rsidR="00DC0D50" w:rsidRDefault="00DC0D50" w:rsidP="00DC0D50">
      <w:pPr>
        <w:spacing w:after="0" w:line="360" w:lineRule="auto"/>
        <w:ind w:firstLine="562"/>
        <w:contextualSpacing/>
        <w:jc w:val="both"/>
        <w:rPr>
          <w:rFonts w:ascii="GHEA Grapalat" w:hAnsi="GHEA Grapalat"/>
          <w:lang w:val="hy-AM"/>
        </w:rPr>
      </w:pPr>
      <w:r w:rsidRPr="003F0E8E">
        <w:rPr>
          <w:rFonts w:ascii="GHEA Grapalat" w:hAnsi="GHEA Grapalat"/>
          <w:lang w:val="hy-AM"/>
        </w:rPr>
        <w:t>Պարզելու համար, թե արդյոք տեղի է ունեցել Կոնվենցիայի 6-րդ հոդվածի 1-ին կետի խախտում՝ զուգակցված 6-րդ</w:t>
      </w:r>
      <w:r>
        <w:rPr>
          <w:rFonts w:ascii="GHEA Grapalat" w:hAnsi="GHEA Grapalat"/>
          <w:lang w:val="hy-AM"/>
        </w:rPr>
        <w:t xml:space="preserve"> հոդվածի </w:t>
      </w:r>
      <w:r w:rsidRPr="003F0E8E">
        <w:rPr>
          <w:rFonts w:ascii="GHEA Grapalat" w:hAnsi="GHEA Grapalat"/>
          <w:lang w:val="hy-AM"/>
        </w:rPr>
        <w:t xml:space="preserve">3-րդ կետի «դ» ենթակետի հետ, Եվրոպական </w:t>
      </w:r>
      <w:r w:rsidR="00645C80">
        <w:rPr>
          <w:rFonts w:ascii="GHEA Grapalat" w:hAnsi="GHEA Grapalat"/>
          <w:lang w:val="hy-AM"/>
        </w:rPr>
        <w:t>դ</w:t>
      </w:r>
      <w:r w:rsidRPr="003F0E8E">
        <w:rPr>
          <w:rFonts w:ascii="GHEA Grapalat" w:hAnsi="GHEA Grapalat"/>
          <w:lang w:val="hy-AM"/>
        </w:rPr>
        <w:t xml:space="preserve">ատարանը կիրառել է իր նախադեպային իրավունքով սահմանված եռաստիճան թեստը: </w:t>
      </w:r>
    </w:p>
    <w:p w:rsidR="00DC0D50" w:rsidRDefault="00DC0D50" w:rsidP="00DC0D50">
      <w:pPr>
        <w:spacing w:before="240" w:line="360" w:lineRule="auto"/>
        <w:ind w:firstLine="562"/>
        <w:jc w:val="both"/>
        <w:rPr>
          <w:rFonts w:ascii="GHEA Grapalat" w:hAnsi="GHEA Grapalat"/>
          <w:i/>
          <w:lang w:val="hy-AM"/>
        </w:rPr>
      </w:pPr>
      <w:r w:rsidRPr="003F0E8E">
        <w:rPr>
          <w:rFonts w:ascii="GHEA Grapalat" w:hAnsi="GHEA Grapalat"/>
          <w:i/>
          <w:lang w:val="hy-AM"/>
        </w:rPr>
        <w:t>Արդյոք վկաների՝ դատական քննությանը չներկայանալու համար եղել են հիմնավոր պատճառներ:</w:t>
      </w:r>
    </w:p>
    <w:p w:rsidR="007A2904" w:rsidRPr="006B7A50" w:rsidRDefault="002173FD" w:rsidP="006B7A50">
      <w:pPr>
        <w:spacing w:before="240" w:line="360" w:lineRule="auto"/>
        <w:ind w:firstLine="562"/>
        <w:contextualSpacing/>
        <w:jc w:val="both"/>
        <w:rPr>
          <w:rFonts w:ascii="GHEA Grapalat" w:hAnsi="GHEA Grapalat"/>
          <w:spacing w:val="-2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 xml:space="preserve">Սույն գործով Եվրոպական դատարանն արձանագրել, </w:t>
      </w:r>
      <w:r w:rsidRPr="007A2904">
        <w:rPr>
          <w:rFonts w:ascii="GHEA Grapalat" w:hAnsi="GHEA Grapalat"/>
          <w:szCs w:val="24"/>
          <w:lang w:val="hy-AM"/>
        </w:rPr>
        <w:t>որ բոլոր ողջամիտ ջանքերը</w:t>
      </w:r>
      <w:r>
        <w:rPr>
          <w:rFonts w:ascii="GHEA Grapalat" w:hAnsi="GHEA Grapalat"/>
          <w:szCs w:val="24"/>
          <w:lang w:val="hy-AM"/>
        </w:rPr>
        <w:t xml:space="preserve"> չեն գործադրվել</w:t>
      </w:r>
      <w:r w:rsidRPr="007A2904">
        <w:rPr>
          <w:rFonts w:ascii="GHEA Grapalat" w:hAnsi="GHEA Grapalat"/>
          <w:szCs w:val="24"/>
          <w:lang w:val="hy-AM"/>
        </w:rPr>
        <w:t>՝ դիմումատուի գործով դատաքննությանը</w:t>
      </w:r>
      <w:r>
        <w:rPr>
          <w:rFonts w:ascii="GHEA Grapalat" w:hAnsi="GHEA Grapalat"/>
          <w:szCs w:val="24"/>
          <w:lang w:val="hy-AM"/>
        </w:rPr>
        <w:t xml:space="preserve"> տուժողի ընկերուհու </w:t>
      </w:r>
      <w:r w:rsidRPr="007A2904">
        <w:rPr>
          <w:rFonts w:ascii="GHEA Grapalat" w:hAnsi="GHEA Grapalat"/>
          <w:szCs w:val="24"/>
          <w:lang w:val="hy-AM"/>
        </w:rPr>
        <w:t>ներկայությունն ապահովելու համար</w:t>
      </w:r>
      <w:r>
        <w:rPr>
          <w:rFonts w:ascii="GHEA Grapalat" w:hAnsi="GHEA Grapalat"/>
          <w:szCs w:val="24"/>
          <w:lang w:val="hy-AM"/>
        </w:rPr>
        <w:t xml:space="preserve">, ով </w:t>
      </w:r>
      <w:r w:rsidRPr="007A2904">
        <w:rPr>
          <w:rFonts w:ascii="GHEA Grapalat" w:hAnsi="GHEA Grapalat"/>
          <w:szCs w:val="24"/>
          <w:lang w:val="hy-AM"/>
        </w:rPr>
        <w:t>սպանության միակ ականատես վկան</w:t>
      </w:r>
      <w:r>
        <w:rPr>
          <w:rFonts w:ascii="GHEA Grapalat" w:hAnsi="GHEA Grapalat"/>
          <w:szCs w:val="24"/>
          <w:lang w:val="hy-AM"/>
        </w:rPr>
        <w:t xml:space="preserve"> է</w:t>
      </w:r>
      <w:r w:rsidR="00A637A7">
        <w:rPr>
          <w:rFonts w:ascii="GHEA Grapalat" w:hAnsi="GHEA Grapalat"/>
          <w:szCs w:val="24"/>
          <w:lang w:val="hy-AM"/>
        </w:rPr>
        <w:t>ր</w:t>
      </w:r>
      <w:r w:rsidRPr="007A2904">
        <w:rPr>
          <w:rFonts w:ascii="GHEA Grapalat" w:hAnsi="GHEA Grapalat"/>
          <w:szCs w:val="24"/>
          <w:lang w:val="hy-AM"/>
        </w:rPr>
        <w:t xml:space="preserve">, </w:t>
      </w:r>
      <w:r w:rsidR="000C4C8E">
        <w:rPr>
          <w:rFonts w:ascii="GHEA Grapalat" w:hAnsi="GHEA Grapalat"/>
          <w:szCs w:val="24"/>
          <w:lang w:val="hy-AM"/>
        </w:rPr>
        <w:t>և</w:t>
      </w:r>
      <w:r w:rsidRPr="007A2904">
        <w:rPr>
          <w:rFonts w:ascii="GHEA Grapalat" w:hAnsi="GHEA Grapalat"/>
          <w:szCs w:val="24"/>
          <w:lang w:val="hy-AM"/>
        </w:rPr>
        <w:t xml:space="preserve"> նույն օրը ոստիկանության կողմից հարցաքննվելու ժամանակ տվել է</w:t>
      </w:r>
      <w:r w:rsidR="00A637A7">
        <w:rPr>
          <w:rFonts w:ascii="GHEA Grapalat" w:hAnsi="GHEA Grapalat"/>
          <w:szCs w:val="24"/>
          <w:lang w:val="hy-AM"/>
        </w:rPr>
        <w:t>ր</w:t>
      </w:r>
      <w:r w:rsidRPr="007A2904">
        <w:rPr>
          <w:rFonts w:ascii="GHEA Grapalat" w:hAnsi="GHEA Grapalat"/>
          <w:szCs w:val="24"/>
          <w:lang w:val="hy-AM"/>
        </w:rPr>
        <w:t xml:space="preserve"> դիմումատուի մեղավորությունն ուղղակիորեն հաստատող ցուցմունք</w:t>
      </w:r>
      <w:r>
        <w:rPr>
          <w:rFonts w:ascii="GHEA Grapalat" w:hAnsi="GHEA Grapalat"/>
          <w:szCs w:val="24"/>
          <w:lang w:val="hy-AM"/>
        </w:rPr>
        <w:t>ներ: Ճշմարիտ է, որ ա</w:t>
      </w:r>
      <w:r w:rsidR="007A2904">
        <w:rPr>
          <w:rFonts w:ascii="GHEA Grapalat" w:hAnsi="GHEA Grapalat"/>
          <w:szCs w:val="24"/>
          <w:lang w:val="hy-AM"/>
        </w:rPr>
        <w:t xml:space="preserve">ռաջին ատյանի </w:t>
      </w:r>
      <w:r w:rsidR="007A2904" w:rsidRPr="007A2904">
        <w:rPr>
          <w:rFonts w:ascii="GHEA Grapalat" w:hAnsi="GHEA Grapalat"/>
          <w:szCs w:val="24"/>
          <w:lang w:val="hy-AM"/>
        </w:rPr>
        <w:t xml:space="preserve">դատարանը մի քանի անգամ հետաձգել է լսումները՝ փորձելով ապահովել </w:t>
      </w:r>
      <w:r w:rsidR="007A2904">
        <w:rPr>
          <w:rFonts w:ascii="GHEA Grapalat" w:hAnsi="GHEA Grapalat"/>
          <w:szCs w:val="24"/>
          <w:lang w:val="hy-AM"/>
        </w:rPr>
        <w:t xml:space="preserve">նշված վկայի ներկայությունը </w:t>
      </w:r>
      <w:r w:rsidR="007A2904" w:rsidRPr="007A2904">
        <w:rPr>
          <w:rFonts w:ascii="GHEA Grapalat" w:hAnsi="GHEA Grapalat"/>
          <w:szCs w:val="24"/>
          <w:lang w:val="hy-AM"/>
        </w:rPr>
        <w:t xml:space="preserve">դիմումատուի գործով դատաքննությանը, ինչպես </w:t>
      </w:r>
      <w:r w:rsidR="000C4C8E">
        <w:rPr>
          <w:rFonts w:ascii="GHEA Grapalat" w:hAnsi="GHEA Grapalat"/>
          <w:szCs w:val="24"/>
          <w:lang w:val="hy-AM"/>
        </w:rPr>
        <w:t>նաև</w:t>
      </w:r>
      <w:r w:rsidR="007A2904" w:rsidRPr="007A2904">
        <w:rPr>
          <w:rFonts w:ascii="GHEA Grapalat" w:hAnsi="GHEA Grapalat"/>
          <w:szCs w:val="24"/>
          <w:lang w:val="hy-AM"/>
        </w:rPr>
        <w:t xml:space="preserve"> այդ հարցում դիմել է </w:t>
      </w:r>
      <w:r w:rsidR="007A2904" w:rsidRPr="007A2904">
        <w:rPr>
          <w:rFonts w:ascii="GHEA Grapalat" w:hAnsi="GHEA Grapalat"/>
          <w:szCs w:val="24"/>
          <w:lang w:val="hy-AM"/>
        </w:rPr>
        <w:lastRenderedPageBreak/>
        <w:t>ոստիկանության աջակցությանը</w:t>
      </w:r>
      <w:r w:rsidR="007A2904">
        <w:rPr>
          <w:rFonts w:ascii="GHEA Grapalat" w:hAnsi="GHEA Grapalat"/>
          <w:szCs w:val="24"/>
          <w:lang w:val="hy-AM"/>
        </w:rPr>
        <w:t xml:space="preserve">: </w:t>
      </w:r>
      <w:r w:rsidR="007A2904" w:rsidRPr="007A2904">
        <w:rPr>
          <w:rFonts w:ascii="GHEA Grapalat" w:hAnsi="GHEA Grapalat"/>
          <w:szCs w:val="24"/>
          <w:lang w:val="hy-AM"/>
        </w:rPr>
        <w:t xml:space="preserve">Վերաքննիչ դատարանն իր հերթին </w:t>
      </w:r>
      <w:r w:rsidR="007A2904">
        <w:rPr>
          <w:rFonts w:ascii="GHEA Grapalat" w:hAnsi="GHEA Grapalat"/>
          <w:szCs w:val="24"/>
          <w:lang w:val="hy-AM"/>
        </w:rPr>
        <w:t xml:space="preserve">նույնպես </w:t>
      </w:r>
      <w:r w:rsidR="007A2904" w:rsidRPr="007A2904">
        <w:rPr>
          <w:rFonts w:ascii="GHEA Grapalat" w:hAnsi="GHEA Grapalat"/>
          <w:szCs w:val="24"/>
          <w:lang w:val="hy-AM"/>
        </w:rPr>
        <w:t>փորձել է ապահովե</w:t>
      </w:r>
      <w:r w:rsidR="007A2904">
        <w:rPr>
          <w:rFonts w:ascii="GHEA Grapalat" w:hAnsi="GHEA Grapalat"/>
          <w:szCs w:val="24"/>
          <w:lang w:val="hy-AM"/>
        </w:rPr>
        <w:t>լ տուժողի ընկերուհու</w:t>
      </w:r>
      <w:r w:rsidR="007A2904" w:rsidRPr="007A2904">
        <w:rPr>
          <w:rFonts w:ascii="GHEA Grapalat" w:hAnsi="GHEA Grapalat"/>
          <w:szCs w:val="24"/>
          <w:lang w:val="hy-AM"/>
        </w:rPr>
        <w:t xml:space="preserve"> ներկայությունը </w:t>
      </w:r>
      <w:r w:rsidR="007A2904" w:rsidRPr="007A2904">
        <w:rPr>
          <w:rFonts w:ascii="GHEA Grapalat" w:hAnsi="GHEA Grapalat"/>
          <w:spacing w:val="-2"/>
          <w:szCs w:val="24"/>
          <w:lang w:val="hy-AM"/>
        </w:rPr>
        <w:t>դատաքննությանը գործն իր վարույթում գտնվելու ժամանակ</w:t>
      </w:r>
      <w:r w:rsidR="007A2904">
        <w:rPr>
          <w:rFonts w:ascii="GHEA Grapalat" w:hAnsi="GHEA Grapalat"/>
          <w:spacing w:val="-2"/>
          <w:szCs w:val="24"/>
          <w:lang w:val="hy-AM"/>
        </w:rPr>
        <w:t xml:space="preserve">: </w:t>
      </w:r>
      <w:r w:rsidR="007A2904" w:rsidRPr="007A2904">
        <w:rPr>
          <w:rFonts w:ascii="GHEA Grapalat" w:hAnsi="GHEA Grapalat"/>
          <w:szCs w:val="24"/>
          <w:lang w:val="hy-AM"/>
        </w:rPr>
        <w:t xml:space="preserve">Այնուամենայնիվ, այդ միջոցները եղել են ապարդյուն՝ հաշվի առնելով </w:t>
      </w:r>
      <w:r w:rsidR="007A2904" w:rsidRPr="002173FD">
        <w:rPr>
          <w:rFonts w:ascii="GHEA Grapalat" w:hAnsi="GHEA Grapalat"/>
          <w:szCs w:val="24"/>
          <w:lang w:val="hy-AM"/>
        </w:rPr>
        <w:t>դատարանի</w:t>
      </w:r>
      <w:r w:rsidR="007A2904" w:rsidRPr="007A2904">
        <w:rPr>
          <w:rFonts w:ascii="GHEA Grapalat" w:hAnsi="GHEA Grapalat"/>
          <w:szCs w:val="24"/>
          <w:lang w:val="hy-AM"/>
        </w:rPr>
        <w:t xml:space="preserve"> կարգադրությունը ոստիկանության կողմից կատարելու անընդմեջ ձախողումը: </w:t>
      </w:r>
      <w:r w:rsidR="006B7A50">
        <w:rPr>
          <w:rFonts w:ascii="GHEA Grapalat" w:hAnsi="GHEA Grapalat"/>
          <w:szCs w:val="24"/>
          <w:lang w:val="hy-AM"/>
        </w:rPr>
        <w:t xml:space="preserve">Մասնավորապես, </w:t>
      </w:r>
      <w:r w:rsidR="007A2904" w:rsidRPr="007A2904">
        <w:rPr>
          <w:rFonts w:ascii="GHEA Grapalat" w:hAnsi="GHEA Grapalat"/>
          <w:szCs w:val="24"/>
          <w:lang w:val="hy-AM"/>
        </w:rPr>
        <w:t xml:space="preserve">ոստիկանությունը մի քանի անգամ </w:t>
      </w:r>
      <w:r w:rsidR="006B7A50">
        <w:rPr>
          <w:rFonts w:ascii="GHEA Grapalat" w:hAnsi="GHEA Grapalat"/>
          <w:szCs w:val="24"/>
          <w:lang w:val="hy-AM"/>
        </w:rPr>
        <w:t xml:space="preserve">պարզապես </w:t>
      </w:r>
      <w:r w:rsidR="007A2904" w:rsidRPr="007A2904">
        <w:rPr>
          <w:rFonts w:ascii="GHEA Grapalat" w:hAnsi="GHEA Grapalat"/>
          <w:szCs w:val="24"/>
          <w:lang w:val="hy-AM"/>
        </w:rPr>
        <w:t xml:space="preserve">այցելել է </w:t>
      </w:r>
      <w:r>
        <w:rPr>
          <w:rFonts w:ascii="GHEA Grapalat" w:hAnsi="GHEA Grapalat"/>
          <w:szCs w:val="24"/>
          <w:lang w:val="hy-AM"/>
        </w:rPr>
        <w:t xml:space="preserve">տուժողի ընկերուհու </w:t>
      </w:r>
      <w:r w:rsidR="007A2904" w:rsidRPr="007A2904">
        <w:rPr>
          <w:rFonts w:ascii="GHEA Grapalat" w:hAnsi="GHEA Grapalat"/>
          <w:szCs w:val="24"/>
          <w:lang w:val="hy-AM"/>
        </w:rPr>
        <w:t xml:space="preserve">տուն </w:t>
      </w:r>
      <w:r w:rsidR="000C4C8E">
        <w:rPr>
          <w:rFonts w:ascii="GHEA Grapalat" w:hAnsi="GHEA Grapalat"/>
          <w:szCs w:val="24"/>
          <w:lang w:val="hy-AM"/>
        </w:rPr>
        <w:t>և</w:t>
      </w:r>
      <w:r w:rsidR="007A2904" w:rsidRPr="007A2904">
        <w:rPr>
          <w:rFonts w:ascii="GHEA Grapalat" w:hAnsi="GHEA Grapalat"/>
          <w:szCs w:val="24"/>
          <w:lang w:val="hy-AM"/>
        </w:rPr>
        <w:t xml:space="preserve"> տեղեկանալով, որ նա արտասահմանում է, ո՛չ ստուգել է այդ տեղեկատվության հավաստիությունը </w:t>
      </w:r>
      <w:r w:rsidR="000C4C8E">
        <w:rPr>
          <w:rFonts w:ascii="GHEA Grapalat" w:hAnsi="GHEA Grapalat"/>
          <w:szCs w:val="24"/>
          <w:lang w:val="hy-AM"/>
        </w:rPr>
        <w:t>և</w:t>
      </w:r>
      <w:r w:rsidR="007A2904" w:rsidRPr="007A2904">
        <w:rPr>
          <w:rFonts w:ascii="GHEA Grapalat" w:hAnsi="GHEA Grapalat"/>
          <w:szCs w:val="24"/>
          <w:lang w:val="hy-AM"/>
        </w:rPr>
        <w:t xml:space="preserve"> ո՛չ էլ փորձել պարզել վերջինիս գտնվելու վայրը, ինչը հնարավորություն կտար դատարանին դիմելու միջազգային իրավական </w:t>
      </w:r>
      <w:r>
        <w:rPr>
          <w:rFonts w:ascii="GHEA Grapalat" w:hAnsi="GHEA Grapalat"/>
          <w:szCs w:val="24"/>
          <w:lang w:val="hy-AM"/>
        </w:rPr>
        <w:t>փոխ</w:t>
      </w:r>
      <w:r w:rsidR="007A2904" w:rsidRPr="007A2904">
        <w:rPr>
          <w:rFonts w:ascii="GHEA Grapalat" w:hAnsi="GHEA Grapalat"/>
          <w:szCs w:val="24"/>
          <w:lang w:val="hy-AM"/>
        </w:rPr>
        <w:t>օգնության</w:t>
      </w:r>
      <w:r w:rsidR="002364D6">
        <w:rPr>
          <w:rFonts w:ascii="GHEA Grapalat" w:hAnsi="GHEA Grapalat"/>
          <w:szCs w:val="24"/>
          <w:lang w:val="hy-AM"/>
        </w:rPr>
        <w:t>: Հաշվի առնելով նշվածը՝</w:t>
      </w:r>
      <w:r w:rsidR="007A2904" w:rsidRPr="007A2904"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/>
          <w:szCs w:val="24"/>
          <w:lang w:val="hy-AM"/>
        </w:rPr>
        <w:t>Եվրոպական դ</w:t>
      </w:r>
      <w:r w:rsidR="007A2904" w:rsidRPr="007A2904">
        <w:rPr>
          <w:rFonts w:ascii="GHEA Grapalat" w:hAnsi="GHEA Grapalat"/>
          <w:szCs w:val="24"/>
          <w:lang w:val="hy-AM"/>
        </w:rPr>
        <w:t>ատարանը չի</w:t>
      </w:r>
      <w:r>
        <w:rPr>
          <w:rFonts w:ascii="GHEA Grapalat" w:hAnsi="GHEA Grapalat"/>
          <w:szCs w:val="24"/>
          <w:lang w:val="hy-AM"/>
        </w:rPr>
        <w:t xml:space="preserve"> </w:t>
      </w:r>
      <w:r w:rsidR="007A2904" w:rsidRPr="007A2904">
        <w:rPr>
          <w:rFonts w:ascii="GHEA Grapalat" w:hAnsi="GHEA Grapalat"/>
          <w:szCs w:val="24"/>
          <w:lang w:val="hy-AM"/>
        </w:rPr>
        <w:t xml:space="preserve">համարել, որ իշխանություններն «ակտիվորեն փնտրել են վկային» </w:t>
      </w:r>
      <w:r w:rsidR="000C4C8E">
        <w:rPr>
          <w:rFonts w:ascii="GHEA Grapalat" w:hAnsi="GHEA Grapalat"/>
          <w:szCs w:val="24"/>
          <w:lang w:val="hy-AM"/>
        </w:rPr>
        <w:t>և</w:t>
      </w:r>
      <w:r w:rsidR="007A2904" w:rsidRPr="007A2904">
        <w:rPr>
          <w:rFonts w:ascii="GHEA Grapalat" w:hAnsi="GHEA Grapalat"/>
          <w:szCs w:val="24"/>
          <w:lang w:val="hy-AM"/>
        </w:rPr>
        <w:t xml:space="preserve"> ձեռնարկել «բոլոր ողջամիտ միջոցները՝ վկայի ներկայությունն ապահովելու համար»:</w:t>
      </w:r>
    </w:p>
    <w:p w:rsidR="00DC0D50" w:rsidRPr="003F0E8E" w:rsidRDefault="00DC0D50" w:rsidP="006B7A50">
      <w:pPr>
        <w:spacing w:before="240" w:line="360" w:lineRule="auto"/>
        <w:ind w:firstLine="547"/>
        <w:jc w:val="both"/>
        <w:rPr>
          <w:rFonts w:ascii="GHEA Grapalat" w:hAnsi="GHEA Grapalat"/>
          <w:i/>
          <w:lang w:val="hy-AM"/>
        </w:rPr>
      </w:pPr>
      <w:r w:rsidRPr="003F0E8E">
        <w:rPr>
          <w:rFonts w:ascii="GHEA Grapalat" w:hAnsi="GHEA Grapalat"/>
          <w:i/>
          <w:lang w:val="hy-AM"/>
        </w:rPr>
        <w:t>Արդյոք չներկայացած վկաների ցուցմունքները եղել են «միակ կամ</w:t>
      </w:r>
      <w:r>
        <w:rPr>
          <w:rFonts w:ascii="GHEA Grapalat" w:hAnsi="GHEA Grapalat"/>
          <w:i/>
          <w:lang w:val="hy-AM"/>
        </w:rPr>
        <w:t xml:space="preserve"> </w:t>
      </w:r>
      <w:r w:rsidRPr="003F0E8E">
        <w:rPr>
          <w:rFonts w:ascii="GHEA Grapalat" w:hAnsi="GHEA Grapalat"/>
          <w:i/>
          <w:lang w:val="hy-AM"/>
        </w:rPr>
        <w:t>որոշիչ» ապացույցը:</w:t>
      </w:r>
    </w:p>
    <w:p w:rsidR="006B7A50" w:rsidRDefault="00D81973" w:rsidP="006B7A50">
      <w:pPr>
        <w:spacing w:after="0" w:line="360" w:lineRule="auto"/>
        <w:ind w:firstLine="54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Տուժողի ընկերուհին</w:t>
      </w:r>
      <w:r w:rsidR="002173FD" w:rsidRPr="002173FD">
        <w:rPr>
          <w:rFonts w:ascii="GHEA Grapalat" w:hAnsi="GHEA Grapalat"/>
          <w:lang w:val="hy-AM"/>
        </w:rPr>
        <w:t xml:space="preserve"> հանցագործության միակ ականատես վկան</w:t>
      </w:r>
      <w:r w:rsidR="00A637A7" w:rsidRPr="00A637A7">
        <w:rPr>
          <w:rFonts w:ascii="GHEA Grapalat" w:hAnsi="GHEA Grapalat"/>
          <w:lang w:val="hy-AM"/>
        </w:rPr>
        <w:t xml:space="preserve"> </w:t>
      </w:r>
      <w:r w:rsidR="00A637A7" w:rsidRPr="002173FD">
        <w:rPr>
          <w:rFonts w:ascii="GHEA Grapalat" w:hAnsi="GHEA Grapalat"/>
          <w:lang w:val="hy-AM"/>
        </w:rPr>
        <w:t>է</w:t>
      </w:r>
      <w:r w:rsidR="000230AF">
        <w:rPr>
          <w:rFonts w:ascii="GHEA Grapalat" w:hAnsi="GHEA Grapalat"/>
          <w:lang w:val="hy-AM"/>
        </w:rPr>
        <w:t>ր</w:t>
      </w:r>
      <w:r w:rsidR="002173FD" w:rsidRPr="002173FD">
        <w:rPr>
          <w:rFonts w:ascii="GHEA Grapalat" w:hAnsi="GHEA Grapalat"/>
          <w:lang w:val="hy-AM"/>
        </w:rPr>
        <w:t xml:space="preserve">: Կասկածի տակ չի կարող դրվել, որ </w:t>
      </w:r>
      <w:r>
        <w:rPr>
          <w:rFonts w:ascii="GHEA Grapalat" w:hAnsi="GHEA Grapalat"/>
          <w:lang w:val="hy-AM"/>
        </w:rPr>
        <w:t xml:space="preserve">նրա </w:t>
      </w:r>
      <w:r w:rsidR="002173FD" w:rsidRPr="002173FD">
        <w:rPr>
          <w:rFonts w:ascii="GHEA Grapalat" w:hAnsi="GHEA Grapalat"/>
          <w:lang w:val="hy-AM"/>
        </w:rPr>
        <w:t xml:space="preserve">ցուցմունքը միակ ապացույցը </w:t>
      </w:r>
      <w:r>
        <w:rPr>
          <w:rFonts w:ascii="GHEA Grapalat" w:hAnsi="GHEA Grapalat"/>
          <w:lang w:val="hy-AM"/>
        </w:rPr>
        <w:t xml:space="preserve">չի եղել դիմումատուի դատապարտման համար: </w:t>
      </w:r>
      <w:r w:rsidR="002173FD" w:rsidRPr="002173FD">
        <w:rPr>
          <w:rFonts w:ascii="GHEA Grapalat" w:hAnsi="GHEA Grapalat"/>
          <w:lang w:val="hy-AM"/>
        </w:rPr>
        <w:t xml:space="preserve">Այնուամենայնիվ, </w:t>
      </w:r>
      <w:r>
        <w:rPr>
          <w:rFonts w:ascii="GHEA Grapalat" w:hAnsi="GHEA Grapalat"/>
          <w:lang w:val="hy-AM"/>
        </w:rPr>
        <w:t xml:space="preserve">այս </w:t>
      </w:r>
      <w:r w:rsidR="002173FD" w:rsidRPr="002173FD">
        <w:rPr>
          <w:rFonts w:ascii="GHEA Grapalat" w:hAnsi="GHEA Grapalat"/>
          <w:lang w:val="hy-AM"/>
        </w:rPr>
        <w:t>վկայի մինչդատական ցուցմունքը միակ ուղղակի ապացույցն է</w:t>
      </w:r>
      <w:r>
        <w:rPr>
          <w:rFonts w:ascii="GHEA Grapalat" w:hAnsi="GHEA Grapalat"/>
          <w:lang w:val="hy-AM"/>
        </w:rPr>
        <w:t xml:space="preserve"> եղել</w:t>
      </w:r>
      <w:r w:rsidR="002173FD" w:rsidRPr="002173FD">
        <w:rPr>
          <w:rFonts w:ascii="GHEA Grapalat" w:hAnsi="GHEA Grapalat"/>
          <w:lang w:val="hy-AM"/>
        </w:rPr>
        <w:t xml:space="preserve">, </w:t>
      </w:r>
      <w:r>
        <w:rPr>
          <w:rFonts w:ascii="GHEA Grapalat" w:hAnsi="GHEA Grapalat"/>
          <w:lang w:val="hy-AM"/>
        </w:rPr>
        <w:t>որով հիմնավորվել է տուժողի ավտոմեքենայի վրա դիմումատուի կողմից կրակելու հայտարարությունը</w:t>
      </w:r>
      <w:r w:rsidR="002173FD" w:rsidRPr="002173FD">
        <w:rPr>
          <w:rFonts w:ascii="GHEA Grapalat" w:hAnsi="GHEA Grapalat"/>
          <w:lang w:val="hy-AM"/>
        </w:rPr>
        <w:t xml:space="preserve">: Այդ իմաստով </w:t>
      </w:r>
      <w:r w:rsidR="00A637A7">
        <w:rPr>
          <w:rFonts w:ascii="GHEA Grapalat" w:hAnsi="GHEA Grapalat"/>
          <w:lang w:val="hy-AM"/>
        </w:rPr>
        <w:t xml:space="preserve">տուժողի ընկերուհին </w:t>
      </w:r>
      <w:r w:rsidR="002173FD" w:rsidRPr="002173FD">
        <w:rPr>
          <w:rFonts w:ascii="GHEA Grapalat" w:hAnsi="GHEA Grapalat"/>
          <w:lang w:val="hy-AM"/>
        </w:rPr>
        <w:t>դիմումատուի գործում կարող է դիտարկվել որպես մեղադրող կողմ</w:t>
      </w:r>
      <w:r w:rsidR="002173FD" w:rsidRPr="00A637A7">
        <w:rPr>
          <w:rFonts w:ascii="GHEA Grapalat" w:hAnsi="GHEA Grapalat"/>
          <w:lang w:val="hy-AM"/>
        </w:rPr>
        <w:t>ի հիմնական վկա: Ինչ վերաբերում է ապացույցների մնացած մասին</w:t>
      </w:r>
      <w:r w:rsidR="00A637A7" w:rsidRPr="00A637A7">
        <w:rPr>
          <w:rFonts w:ascii="GHEA Grapalat" w:hAnsi="GHEA Grapalat"/>
          <w:lang w:val="hy-AM"/>
        </w:rPr>
        <w:t>, ապա դրանք չէին կարող որոշիչ լինել սպանության փաստի ապացուցման համար</w:t>
      </w:r>
      <w:r w:rsidR="002173FD" w:rsidRPr="00A637A7">
        <w:rPr>
          <w:rFonts w:ascii="GHEA Grapalat" w:hAnsi="GHEA Grapalat"/>
          <w:lang w:val="hy-AM"/>
        </w:rPr>
        <w:t xml:space="preserve">: </w:t>
      </w:r>
      <w:r w:rsidR="002173FD" w:rsidRPr="002173FD">
        <w:rPr>
          <w:rFonts w:ascii="GHEA Grapalat" w:hAnsi="GHEA Grapalat"/>
          <w:lang w:val="hy-AM"/>
        </w:rPr>
        <w:t xml:space="preserve">Վերոնշյալից ելնելով՝ </w:t>
      </w:r>
      <w:r w:rsidR="00A637A7">
        <w:rPr>
          <w:rFonts w:ascii="GHEA Grapalat" w:hAnsi="GHEA Grapalat"/>
          <w:lang w:val="hy-AM"/>
        </w:rPr>
        <w:t>Եվրոպական դ</w:t>
      </w:r>
      <w:r w:rsidR="002173FD" w:rsidRPr="002173FD">
        <w:rPr>
          <w:rFonts w:ascii="GHEA Grapalat" w:hAnsi="GHEA Grapalat"/>
          <w:lang w:val="hy-AM"/>
        </w:rPr>
        <w:t xml:space="preserve">ատարանը </w:t>
      </w:r>
      <w:r w:rsidR="00A637A7">
        <w:rPr>
          <w:rFonts w:ascii="GHEA Grapalat" w:hAnsi="GHEA Grapalat"/>
          <w:lang w:val="hy-AM"/>
        </w:rPr>
        <w:t>գտել է</w:t>
      </w:r>
      <w:r w:rsidR="002173FD" w:rsidRPr="002173FD">
        <w:rPr>
          <w:rFonts w:ascii="GHEA Grapalat" w:hAnsi="GHEA Grapalat"/>
          <w:lang w:val="hy-AM"/>
        </w:rPr>
        <w:t>, որ դիմումատուի դատապարտման համար որոշիչ են եղել քննությունից բացակայող վկա</w:t>
      </w:r>
      <w:r w:rsidR="00A637A7">
        <w:rPr>
          <w:rFonts w:ascii="GHEA Grapalat" w:hAnsi="GHEA Grapalat"/>
          <w:lang w:val="hy-AM"/>
        </w:rPr>
        <w:t>յի՝ տուժողի ընկերուհու</w:t>
      </w:r>
      <w:r w:rsidR="002173FD" w:rsidRPr="002173FD">
        <w:rPr>
          <w:rFonts w:ascii="GHEA Grapalat" w:hAnsi="GHEA Grapalat"/>
          <w:lang w:val="hy-AM"/>
        </w:rPr>
        <w:t xml:space="preserve"> ցուցմունքները։</w:t>
      </w:r>
    </w:p>
    <w:p w:rsidR="00D83B63" w:rsidRPr="006B7A50" w:rsidRDefault="00DC0D50" w:rsidP="006B7A50">
      <w:pPr>
        <w:spacing w:before="240" w:line="360" w:lineRule="auto"/>
        <w:ind w:firstLine="547"/>
        <w:jc w:val="both"/>
        <w:rPr>
          <w:rFonts w:ascii="GHEA Grapalat" w:hAnsi="GHEA Grapalat"/>
          <w:lang w:val="hy-AM"/>
        </w:rPr>
      </w:pPr>
      <w:r w:rsidRPr="00A637A7">
        <w:rPr>
          <w:rFonts w:ascii="GHEA Grapalat" w:hAnsi="GHEA Grapalat"/>
          <w:i/>
          <w:lang w:val="hy-AM"/>
        </w:rPr>
        <w:t>Արդյոք եղել են բավարար «հակակշռող գործոններ»:</w:t>
      </w:r>
    </w:p>
    <w:p w:rsidR="00D83B63" w:rsidRPr="00D83B63" w:rsidRDefault="00643C67" w:rsidP="006B7A50">
      <w:pPr>
        <w:spacing w:before="240" w:after="0" w:line="360" w:lineRule="auto"/>
        <w:ind w:firstLine="547"/>
        <w:jc w:val="both"/>
        <w:rPr>
          <w:rFonts w:ascii="GHEA Grapalat" w:hAnsi="GHEA Grapalat"/>
          <w:i/>
          <w:lang w:val="hy-AM"/>
        </w:rPr>
      </w:pPr>
      <w:r>
        <w:rPr>
          <w:rFonts w:ascii="GHEA Grapalat" w:eastAsia="Calibri" w:hAnsi="GHEA Grapalat" w:cs="Times New Roman"/>
          <w:lang w:val="hy-AM"/>
        </w:rPr>
        <w:t>Եվրոպական դատարանն արձանագրել է, որ ա</w:t>
      </w:r>
      <w:r w:rsidR="00A637A7">
        <w:rPr>
          <w:rFonts w:ascii="GHEA Grapalat" w:eastAsia="Calibri" w:hAnsi="GHEA Grapalat" w:cs="Times New Roman"/>
          <w:lang w:val="hy-AM"/>
        </w:rPr>
        <w:t xml:space="preserve">ռաջին ատյանի </w:t>
      </w:r>
      <w:r w:rsidR="00A637A7" w:rsidRPr="00A637A7">
        <w:rPr>
          <w:rFonts w:ascii="GHEA Grapalat" w:eastAsia="Calibri" w:hAnsi="GHEA Grapalat" w:cs="Times New Roman"/>
          <w:lang w:val="hy-AM"/>
        </w:rPr>
        <w:t xml:space="preserve">դատարանի </w:t>
      </w:r>
      <w:r>
        <w:rPr>
          <w:rFonts w:ascii="GHEA Grapalat" w:eastAsia="Calibri" w:hAnsi="GHEA Grapalat" w:cs="Times New Roman"/>
          <w:lang w:val="hy-AM"/>
        </w:rPr>
        <w:t>դատա</w:t>
      </w:r>
      <w:r w:rsidR="00A637A7" w:rsidRPr="00A637A7">
        <w:rPr>
          <w:rFonts w:ascii="GHEA Grapalat" w:eastAsia="Calibri" w:hAnsi="GHEA Grapalat" w:cs="Times New Roman"/>
          <w:lang w:val="hy-AM"/>
        </w:rPr>
        <w:t>վճիռը չի պարունակում</w:t>
      </w:r>
      <w:r>
        <w:rPr>
          <w:rFonts w:ascii="GHEA Grapalat" w:eastAsia="Calibri" w:hAnsi="GHEA Grapalat" w:cs="Times New Roman"/>
          <w:lang w:val="hy-AM"/>
        </w:rPr>
        <w:t xml:space="preserve"> </w:t>
      </w:r>
      <w:r w:rsidR="00A637A7" w:rsidRPr="00A637A7">
        <w:rPr>
          <w:rFonts w:ascii="GHEA Grapalat" w:eastAsia="Calibri" w:hAnsi="GHEA Grapalat" w:cs="Times New Roman"/>
          <w:lang w:val="hy-AM"/>
        </w:rPr>
        <w:t>ներկայացված ապացույցների վերլուծություն, ավելի</w:t>
      </w:r>
      <w:r>
        <w:rPr>
          <w:rFonts w:ascii="GHEA Grapalat" w:eastAsia="Calibri" w:hAnsi="GHEA Grapalat" w:cs="Times New Roman"/>
          <w:lang w:val="hy-AM"/>
        </w:rPr>
        <w:t>ն</w:t>
      </w:r>
      <w:r w:rsidR="002364D6">
        <w:rPr>
          <w:rFonts w:ascii="GHEA Grapalat" w:eastAsia="Calibri" w:hAnsi="GHEA Grapalat" w:cs="Times New Roman"/>
          <w:lang w:val="hy-AM"/>
        </w:rPr>
        <w:t>՝</w:t>
      </w:r>
      <w:r>
        <w:rPr>
          <w:rFonts w:ascii="GHEA Grapalat" w:eastAsia="Calibri" w:hAnsi="GHEA Grapalat" w:cs="Times New Roman"/>
          <w:lang w:val="hy-AM"/>
        </w:rPr>
        <w:t xml:space="preserve"> որևէ նշում</w:t>
      </w:r>
      <w:r w:rsidR="00A637A7" w:rsidRPr="00A637A7">
        <w:rPr>
          <w:rFonts w:ascii="GHEA Grapalat" w:eastAsia="Calibri" w:hAnsi="GHEA Grapalat" w:cs="Times New Roman"/>
          <w:lang w:val="hy-AM"/>
        </w:rPr>
        <w:t xml:space="preserve">, որ դատարանը տեղյակ է եղել </w:t>
      </w:r>
      <w:r>
        <w:rPr>
          <w:rFonts w:ascii="GHEA Grapalat" w:eastAsia="Calibri" w:hAnsi="GHEA Grapalat" w:cs="Times New Roman"/>
          <w:lang w:val="hy-AM"/>
        </w:rPr>
        <w:t xml:space="preserve">չհարցաքննված </w:t>
      </w:r>
      <w:r w:rsidR="00A637A7" w:rsidRPr="00A637A7">
        <w:rPr>
          <w:rFonts w:ascii="GHEA Grapalat" w:eastAsia="Calibri" w:hAnsi="GHEA Grapalat" w:cs="Times New Roman"/>
          <w:lang w:val="hy-AM"/>
        </w:rPr>
        <w:t>վկայի</w:t>
      </w:r>
      <w:r>
        <w:rPr>
          <w:rFonts w:ascii="GHEA Grapalat" w:eastAsia="Calibri" w:hAnsi="GHEA Grapalat" w:cs="Times New Roman"/>
          <w:lang w:val="hy-AM"/>
        </w:rPr>
        <w:t xml:space="preserve"> </w:t>
      </w:r>
      <w:r w:rsidR="00A637A7" w:rsidRPr="00A637A7">
        <w:rPr>
          <w:rFonts w:ascii="GHEA Grapalat" w:eastAsia="Calibri" w:hAnsi="GHEA Grapalat" w:cs="Times New Roman"/>
          <w:lang w:val="hy-AM"/>
        </w:rPr>
        <w:t>ցուցմունքների, այդ թվում՝</w:t>
      </w:r>
      <w:r>
        <w:rPr>
          <w:rFonts w:ascii="GHEA Grapalat" w:eastAsia="Calibri" w:hAnsi="GHEA Grapalat" w:cs="Times New Roman"/>
          <w:lang w:val="hy-AM"/>
        </w:rPr>
        <w:t xml:space="preserve"> տուժողի ընկերուհու </w:t>
      </w:r>
      <w:r w:rsidR="00A637A7" w:rsidRPr="00A637A7">
        <w:rPr>
          <w:rFonts w:ascii="GHEA Grapalat" w:eastAsia="Calibri" w:hAnsi="GHEA Grapalat" w:cs="Times New Roman"/>
          <w:lang w:val="hy-AM"/>
        </w:rPr>
        <w:t>ցուցմունքի</w:t>
      </w:r>
      <w:r>
        <w:rPr>
          <w:rFonts w:ascii="GHEA Grapalat" w:eastAsia="Calibri" w:hAnsi="GHEA Grapalat" w:cs="Times New Roman"/>
          <w:lang w:val="hy-AM"/>
        </w:rPr>
        <w:t xml:space="preserve"> սահմանափակ </w:t>
      </w:r>
      <w:r w:rsidR="00A637A7" w:rsidRPr="00A637A7">
        <w:rPr>
          <w:rFonts w:ascii="GHEA Grapalat" w:eastAsia="Calibri" w:hAnsi="GHEA Grapalat" w:cs="Times New Roman"/>
          <w:lang w:val="hy-AM"/>
        </w:rPr>
        <w:t>ապացուցողական</w:t>
      </w:r>
      <w:r>
        <w:rPr>
          <w:rFonts w:ascii="GHEA Grapalat" w:eastAsia="Calibri" w:hAnsi="GHEA Grapalat" w:cs="Times New Roman"/>
          <w:lang w:val="hy-AM"/>
        </w:rPr>
        <w:t xml:space="preserve"> նշանակության </w:t>
      </w:r>
      <w:r w:rsidR="00A637A7" w:rsidRPr="00A637A7">
        <w:rPr>
          <w:rFonts w:ascii="GHEA Grapalat" w:eastAsia="Calibri" w:hAnsi="GHEA Grapalat" w:cs="Times New Roman"/>
          <w:lang w:val="hy-AM"/>
        </w:rPr>
        <w:t xml:space="preserve">մասին: Բոլոր ապացույցները պարզապես ներկայացվել են որպես դիմումատուի կողմից </w:t>
      </w:r>
      <w:r w:rsidR="00A637A7" w:rsidRPr="00A637A7">
        <w:rPr>
          <w:rFonts w:ascii="GHEA Grapalat" w:eastAsia="Calibri" w:hAnsi="GHEA Grapalat" w:cs="Times New Roman"/>
          <w:lang w:val="hy-AM"/>
        </w:rPr>
        <w:lastRenderedPageBreak/>
        <w:t>հանցագործության կատարման</w:t>
      </w:r>
      <w:r>
        <w:rPr>
          <w:rFonts w:ascii="GHEA Grapalat" w:eastAsia="Calibri" w:hAnsi="GHEA Grapalat" w:cs="Times New Roman"/>
          <w:lang w:val="hy-AM"/>
        </w:rPr>
        <w:t xml:space="preserve"> փաստի</w:t>
      </w:r>
      <w:r w:rsidR="00A637A7" w:rsidRPr="00A637A7">
        <w:rPr>
          <w:rFonts w:ascii="GHEA Grapalat" w:eastAsia="Calibri" w:hAnsi="GHEA Grapalat" w:cs="Times New Roman"/>
          <w:lang w:val="hy-AM"/>
        </w:rPr>
        <w:t xml:space="preserve"> ապացույց՝ առանց</w:t>
      </w:r>
      <w:r>
        <w:rPr>
          <w:rFonts w:ascii="GHEA Grapalat" w:eastAsia="Calibri" w:hAnsi="GHEA Grapalat" w:cs="Times New Roman"/>
          <w:lang w:val="hy-AM"/>
        </w:rPr>
        <w:t xml:space="preserve"> չհարցաքննված</w:t>
      </w:r>
      <w:r w:rsidR="00A637A7" w:rsidRPr="00A637A7">
        <w:rPr>
          <w:rFonts w:ascii="GHEA Grapalat" w:eastAsia="Calibri" w:hAnsi="GHEA Grapalat" w:cs="Times New Roman"/>
          <w:lang w:val="hy-AM"/>
        </w:rPr>
        <w:t xml:space="preserve"> վկայի</w:t>
      </w:r>
      <w:r>
        <w:rPr>
          <w:rFonts w:ascii="GHEA Grapalat" w:eastAsia="Calibri" w:hAnsi="GHEA Grapalat" w:cs="Times New Roman"/>
          <w:lang w:val="hy-AM"/>
        </w:rPr>
        <w:t xml:space="preserve"> </w:t>
      </w:r>
      <w:r w:rsidR="00A637A7" w:rsidRPr="00A637A7">
        <w:rPr>
          <w:rFonts w:ascii="GHEA Grapalat" w:eastAsia="Calibri" w:hAnsi="GHEA Grapalat" w:cs="Times New Roman"/>
          <w:lang w:val="hy-AM"/>
        </w:rPr>
        <w:t xml:space="preserve">ցուցմունքի հավաստիության </w:t>
      </w:r>
      <w:r>
        <w:rPr>
          <w:rFonts w:ascii="GHEA Grapalat" w:eastAsia="Calibri" w:hAnsi="GHEA Grapalat" w:cs="Times New Roman"/>
          <w:lang w:val="hy-AM"/>
        </w:rPr>
        <w:t>գնահատման</w:t>
      </w:r>
      <w:r w:rsidR="00A637A7" w:rsidRPr="00A637A7">
        <w:rPr>
          <w:rFonts w:ascii="GHEA Grapalat" w:eastAsia="Calibri" w:hAnsi="GHEA Grapalat" w:cs="Times New Roman"/>
          <w:lang w:val="hy-AM"/>
        </w:rPr>
        <w:t xml:space="preserve">: </w:t>
      </w:r>
      <w:r w:rsidR="000C4C8E">
        <w:rPr>
          <w:rFonts w:ascii="GHEA Grapalat" w:eastAsia="Calibri" w:hAnsi="GHEA Grapalat" w:cs="Times New Roman"/>
          <w:lang w:val="hy-AM"/>
        </w:rPr>
        <w:t>Հետև</w:t>
      </w:r>
      <w:r w:rsidR="00A637A7" w:rsidRPr="00A637A7">
        <w:rPr>
          <w:rFonts w:ascii="GHEA Grapalat" w:eastAsia="Calibri" w:hAnsi="GHEA Grapalat" w:cs="Times New Roman"/>
          <w:lang w:val="hy-AM"/>
        </w:rPr>
        <w:t xml:space="preserve">աբար, </w:t>
      </w:r>
      <w:r>
        <w:rPr>
          <w:rFonts w:ascii="GHEA Grapalat" w:eastAsia="Calibri" w:hAnsi="GHEA Grapalat" w:cs="Times New Roman"/>
          <w:lang w:val="hy-AM"/>
        </w:rPr>
        <w:t>Եվրոպական դ</w:t>
      </w:r>
      <w:r w:rsidR="00A637A7" w:rsidRPr="00A637A7">
        <w:rPr>
          <w:rFonts w:ascii="GHEA Grapalat" w:eastAsia="Calibri" w:hAnsi="GHEA Grapalat" w:cs="Times New Roman"/>
          <w:lang w:val="hy-AM"/>
        </w:rPr>
        <w:t xml:space="preserve">ատարանը </w:t>
      </w:r>
      <w:r>
        <w:rPr>
          <w:rFonts w:ascii="GHEA Grapalat" w:eastAsia="Calibri" w:hAnsi="GHEA Grapalat" w:cs="Times New Roman"/>
          <w:lang w:val="hy-AM"/>
        </w:rPr>
        <w:t>գտել</w:t>
      </w:r>
      <w:r w:rsidR="00A637A7" w:rsidRPr="00A637A7">
        <w:rPr>
          <w:rFonts w:ascii="GHEA Grapalat" w:eastAsia="Calibri" w:hAnsi="GHEA Grapalat" w:cs="Times New Roman"/>
          <w:lang w:val="hy-AM"/>
        </w:rPr>
        <w:t xml:space="preserve"> է, որ </w:t>
      </w:r>
      <w:r>
        <w:rPr>
          <w:rFonts w:ascii="GHEA Grapalat" w:eastAsia="Calibri" w:hAnsi="GHEA Grapalat" w:cs="Times New Roman"/>
          <w:lang w:val="hy-AM"/>
        </w:rPr>
        <w:t xml:space="preserve">առաջին ատյանի </w:t>
      </w:r>
      <w:r w:rsidR="00A637A7" w:rsidRPr="00A637A7">
        <w:rPr>
          <w:rFonts w:ascii="GHEA Grapalat" w:eastAsia="Calibri" w:hAnsi="GHEA Grapalat" w:cs="Times New Roman"/>
          <w:lang w:val="hy-AM"/>
        </w:rPr>
        <w:t>դատարանը պատշաճ կարգով չի քննել</w:t>
      </w:r>
      <w:r>
        <w:rPr>
          <w:rFonts w:ascii="GHEA Grapalat" w:eastAsia="Calibri" w:hAnsi="GHEA Grapalat" w:cs="Times New Roman"/>
          <w:lang w:val="hy-AM"/>
        </w:rPr>
        <w:t xml:space="preserve"> տուժողի ընկերուհու </w:t>
      </w:r>
      <w:r w:rsidR="00A637A7" w:rsidRPr="00A637A7">
        <w:rPr>
          <w:rFonts w:ascii="GHEA Grapalat" w:eastAsia="Calibri" w:hAnsi="GHEA Grapalat" w:cs="Times New Roman"/>
          <w:lang w:val="hy-AM"/>
        </w:rPr>
        <w:t>ցուցմունքի հավաստիության հարցը։</w:t>
      </w:r>
      <w:r>
        <w:rPr>
          <w:rFonts w:ascii="GHEA Grapalat" w:eastAsia="Calibri" w:hAnsi="GHEA Grapalat" w:cs="Times New Roman"/>
          <w:lang w:val="hy-AM"/>
        </w:rPr>
        <w:t xml:space="preserve"> Ինչ վերաբերում է դիմումատուի մեղքն ապացուցող այլ ապացույցներին, ապա </w:t>
      </w:r>
      <w:r w:rsidR="00A637A7" w:rsidRPr="00A637A7">
        <w:rPr>
          <w:rFonts w:ascii="GHEA Grapalat" w:eastAsia="Calibri" w:hAnsi="GHEA Grapalat" w:cs="Times New Roman"/>
          <w:lang w:val="hy-AM"/>
        </w:rPr>
        <w:t>ի տարբերություն</w:t>
      </w:r>
      <w:r w:rsidR="00D83B63">
        <w:rPr>
          <w:rFonts w:ascii="GHEA Grapalat" w:eastAsia="Calibri" w:hAnsi="GHEA Grapalat" w:cs="Times New Roman"/>
          <w:lang w:val="hy-AM"/>
        </w:rPr>
        <w:t xml:space="preserve"> տուժողի ընկերուհու </w:t>
      </w:r>
      <w:r w:rsidR="00A637A7" w:rsidRPr="00A637A7">
        <w:rPr>
          <w:rFonts w:ascii="GHEA Grapalat" w:eastAsia="Calibri" w:hAnsi="GHEA Grapalat" w:cs="Times New Roman"/>
          <w:lang w:val="hy-AM"/>
        </w:rPr>
        <w:t xml:space="preserve">ցուցմունքի, </w:t>
      </w:r>
      <w:r w:rsidR="00D83B63">
        <w:rPr>
          <w:rFonts w:ascii="GHEA Grapalat" w:eastAsia="Calibri" w:hAnsi="GHEA Grapalat" w:cs="Times New Roman"/>
          <w:lang w:val="hy-AM"/>
        </w:rPr>
        <w:t xml:space="preserve">դրանք </w:t>
      </w:r>
      <w:r w:rsidR="00A637A7" w:rsidRPr="00A637A7">
        <w:rPr>
          <w:rFonts w:ascii="GHEA Grapalat" w:eastAsia="Calibri" w:hAnsi="GHEA Grapalat" w:cs="Times New Roman"/>
          <w:lang w:val="hy-AM"/>
        </w:rPr>
        <w:t xml:space="preserve">ինքնին </w:t>
      </w:r>
      <w:r w:rsidR="00D83B63">
        <w:rPr>
          <w:rFonts w:ascii="GHEA Grapalat" w:eastAsia="Calibri" w:hAnsi="GHEA Grapalat" w:cs="Times New Roman"/>
          <w:lang w:val="hy-AM"/>
        </w:rPr>
        <w:t xml:space="preserve">բացասաբար չեն ազդել </w:t>
      </w:r>
      <w:r w:rsidR="00A637A7" w:rsidRPr="00A637A7">
        <w:rPr>
          <w:rFonts w:ascii="GHEA Grapalat" w:eastAsia="Calibri" w:hAnsi="GHEA Grapalat" w:cs="Times New Roman"/>
          <w:lang w:val="hy-AM"/>
        </w:rPr>
        <w:t xml:space="preserve">դիմումատուի պաշտպանության </w:t>
      </w:r>
      <w:r w:rsidR="00D83B63">
        <w:rPr>
          <w:rFonts w:ascii="GHEA Grapalat" w:eastAsia="Calibri" w:hAnsi="GHEA Grapalat" w:cs="Times New Roman"/>
          <w:lang w:val="hy-AM"/>
        </w:rPr>
        <w:t>իրականացման վրա</w:t>
      </w:r>
      <w:r w:rsidR="004A73A3">
        <w:rPr>
          <w:rFonts w:ascii="GHEA Grapalat" w:eastAsia="Calibri" w:hAnsi="GHEA Grapalat" w:cs="Times New Roman"/>
          <w:lang w:val="hy-AM"/>
        </w:rPr>
        <w:t>:</w:t>
      </w:r>
    </w:p>
    <w:p w:rsidR="00A637A7" w:rsidRPr="00A637A7" w:rsidRDefault="00D83B63" w:rsidP="00D83B63">
      <w:pPr>
        <w:tabs>
          <w:tab w:val="left" w:pos="540"/>
          <w:tab w:val="left" w:pos="720"/>
        </w:tabs>
        <w:spacing w:after="0" w:line="360" w:lineRule="auto"/>
        <w:jc w:val="both"/>
        <w:rPr>
          <w:rFonts w:ascii="GHEA Grapalat" w:eastAsia="Calibri" w:hAnsi="GHEA Grapalat" w:cs="Times New Roman"/>
          <w:lang w:val="hy-AM"/>
        </w:rPr>
      </w:pPr>
      <w:r>
        <w:rPr>
          <w:rFonts w:ascii="GHEA Grapalat" w:eastAsia="Calibri" w:hAnsi="GHEA Grapalat" w:cs="Times New Roman"/>
          <w:lang w:val="hy-AM"/>
        </w:rPr>
        <w:tab/>
      </w:r>
      <w:r w:rsidR="00A637A7" w:rsidRPr="00A637A7">
        <w:rPr>
          <w:rFonts w:ascii="GHEA Grapalat" w:eastAsia="Calibri" w:hAnsi="GHEA Grapalat" w:cs="Times New Roman"/>
          <w:lang w:val="hy-AM"/>
        </w:rPr>
        <w:t xml:space="preserve">Ի վերջո, </w:t>
      </w:r>
      <w:r>
        <w:rPr>
          <w:rFonts w:ascii="GHEA Grapalat" w:eastAsia="Calibri" w:hAnsi="GHEA Grapalat" w:cs="Times New Roman"/>
          <w:lang w:val="hy-AM"/>
        </w:rPr>
        <w:t>Եվրոպական դ</w:t>
      </w:r>
      <w:r w:rsidR="00A637A7" w:rsidRPr="00A637A7">
        <w:rPr>
          <w:rFonts w:ascii="GHEA Grapalat" w:eastAsia="Calibri" w:hAnsi="GHEA Grapalat" w:cs="Times New Roman"/>
          <w:lang w:val="hy-AM"/>
        </w:rPr>
        <w:t xml:space="preserve">ատարանը </w:t>
      </w:r>
      <w:r>
        <w:rPr>
          <w:rFonts w:ascii="GHEA Grapalat" w:eastAsia="Calibri" w:hAnsi="GHEA Grapalat" w:cs="Times New Roman"/>
          <w:lang w:val="hy-AM"/>
        </w:rPr>
        <w:t xml:space="preserve">նշել </w:t>
      </w:r>
      <w:r w:rsidR="00A637A7" w:rsidRPr="00A637A7">
        <w:rPr>
          <w:rFonts w:ascii="GHEA Grapalat" w:eastAsia="Calibri" w:hAnsi="GHEA Grapalat" w:cs="Times New Roman"/>
          <w:lang w:val="hy-AM"/>
        </w:rPr>
        <w:t xml:space="preserve">է, որ դատավարական </w:t>
      </w:r>
      <w:r w:rsidR="000C4C8E">
        <w:rPr>
          <w:rFonts w:ascii="GHEA Grapalat" w:eastAsia="Calibri" w:hAnsi="GHEA Grapalat" w:cs="Times New Roman"/>
          <w:lang w:val="hy-AM"/>
        </w:rPr>
        <w:t>որև</w:t>
      </w:r>
      <w:r w:rsidR="00A637A7" w:rsidRPr="00A637A7">
        <w:rPr>
          <w:rFonts w:ascii="GHEA Grapalat" w:eastAsia="Calibri" w:hAnsi="GHEA Grapalat" w:cs="Times New Roman"/>
          <w:lang w:val="hy-AM"/>
        </w:rPr>
        <w:t>է միջոց</w:t>
      </w:r>
      <w:r>
        <w:rPr>
          <w:rFonts w:ascii="GHEA Grapalat" w:eastAsia="Calibri" w:hAnsi="GHEA Grapalat" w:cs="Times New Roman"/>
          <w:lang w:val="hy-AM"/>
        </w:rPr>
        <w:t>առում</w:t>
      </w:r>
      <w:r w:rsidR="00A637A7" w:rsidRPr="00A637A7">
        <w:rPr>
          <w:rFonts w:ascii="GHEA Grapalat" w:eastAsia="Calibri" w:hAnsi="GHEA Grapalat" w:cs="Times New Roman"/>
          <w:lang w:val="hy-AM"/>
        </w:rPr>
        <w:t xml:space="preserve"> չի </w:t>
      </w:r>
      <w:r w:rsidR="002364D6">
        <w:rPr>
          <w:rFonts w:ascii="GHEA Grapalat" w:eastAsia="Calibri" w:hAnsi="GHEA Grapalat" w:cs="Times New Roman"/>
          <w:lang w:val="hy-AM"/>
        </w:rPr>
        <w:t>ձեռնարկվել</w:t>
      </w:r>
      <w:r w:rsidR="00A637A7" w:rsidRPr="00A637A7">
        <w:rPr>
          <w:rFonts w:ascii="GHEA Grapalat" w:eastAsia="Calibri" w:hAnsi="GHEA Grapalat" w:cs="Times New Roman"/>
          <w:lang w:val="hy-AM"/>
        </w:rPr>
        <w:t xml:space="preserve"> դատաքննության ժամանակ</w:t>
      </w:r>
      <w:r>
        <w:rPr>
          <w:rFonts w:ascii="GHEA Grapalat" w:eastAsia="Calibri" w:hAnsi="GHEA Grapalat" w:cs="Times New Roman"/>
          <w:lang w:val="hy-AM"/>
        </w:rPr>
        <w:t xml:space="preserve"> տուժողի ընկերուհուն</w:t>
      </w:r>
      <w:r w:rsidR="00A637A7" w:rsidRPr="00A637A7">
        <w:rPr>
          <w:rFonts w:ascii="GHEA Grapalat" w:eastAsia="Calibri" w:hAnsi="GHEA Grapalat" w:cs="Times New Roman"/>
          <w:lang w:val="hy-AM"/>
        </w:rPr>
        <w:t xml:space="preserve"> հարցաքննելու </w:t>
      </w:r>
      <w:r w:rsidR="002364D6">
        <w:rPr>
          <w:rFonts w:ascii="GHEA Grapalat" w:eastAsia="Calibri" w:hAnsi="GHEA Grapalat" w:cs="Times New Roman"/>
          <w:lang w:val="hy-AM"/>
        </w:rPr>
        <w:t xml:space="preserve">դիմումատուի </w:t>
      </w:r>
      <w:r w:rsidR="00A637A7" w:rsidRPr="00A637A7">
        <w:rPr>
          <w:rFonts w:ascii="GHEA Grapalat" w:eastAsia="Calibri" w:hAnsi="GHEA Grapalat" w:cs="Times New Roman"/>
          <w:lang w:val="hy-AM"/>
        </w:rPr>
        <w:t>հնարավորության բացակայությունը</w:t>
      </w:r>
      <w:r>
        <w:rPr>
          <w:rFonts w:ascii="GHEA Grapalat" w:eastAsia="Calibri" w:hAnsi="GHEA Grapalat" w:cs="Times New Roman"/>
          <w:lang w:val="hy-AM"/>
        </w:rPr>
        <w:t xml:space="preserve"> լրացնելու </w:t>
      </w:r>
      <w:r w:rsidR="00A637A7" w:rsidRPr="00A637A7">
        <w:rPr>
          <w:rFonts w:ascii="GHEA Grapalat" w:eastAsia="Calibri" w:hAnsi="GHEA Grapalat" w:cs="Times New Roman"/>
          <w:lang w:val="hy-AM"/>
        </w:rPr>
        <w:t xml:space="preserve">համար։ Դիմումատուն </w:t>
      </w:r>
      <w:r>
        <w:rPr>
          <w:rFonts w:ascii="GHEA Grapalat" w:eastAsia="Calibri" w:hAnsi="GHEA Grapalat" w:cs="Times New Roman"/>
          <w:lang w:val="hy-AM"/>
        </w:rPr>
        <w:t xml:space="preserve">տուժողի ընկերուհուն հարցաքննելու </w:t>
      </w:r>
      <w:r w:rsidR="00A637A7" w:rsidRPr="00A637A7">
        <w:rPr>
          <w:rFonts w:ascii="GHEA Grapalat" w:eastAsia="Calibri" w:hAnsi="GHEA Grapalat" w:cs="Times New Roman"/>
          <w:lang w:val="hy-AM"/>
        </w:rPr>
        <w:t xml:space="preserve">հնարավորություն չի ունեցել </w:t>
      </w:r>
      <w:r>
        <w:rPr>
          <w:rFonts w:ascii="GHEA Grapalat" w:eastAsia="Calibri" w:hAnsi="GHEA Grapalat" w:cs="Times New Roman"/>
          <w:lang w:val="hy-AM"/>
        </w:rPr>
        <w:t>քրեական գործով</w:t>
      </w:r>
      <w:r w:rsidR="00A637A7" w:rsidRPr="00A637A7">
        <w:rPr>
          <w:rFonts w:ascii="GHEA Grapalat" w:eastAsia="Calibri" w:hAnsi="GHEA Grapalat" w:cs="Times New Roman"/>
          <w:lang w:val="hy-AM"/>
        </w:rPr>
        <w:t xml:space="preserve"> վարույթի </w:t>
      </w:r>
      <w:r w:rsidR="000C4C8E">
        <w:rPr>
          <w:rFonts w:ascii="GHEA Grapalat" w:eastAsia="Calibri" w:hAnsi="GHEA Grapalat" w:cs="Times New Roman"/>
          <w:lang w:val="hy-AM"/>
        </w:rPr>
        <w:t>որև</w:t>
      </w:r>
      <w:r w:rsidR="00A637A7" w:rsidRPr="00A637A7">
        <w:rPr>
          <w:rFonts w:ascii="GHEA Grapalat" w:eastAsia="Calibri" w:hAnsi="GHEA Grapalat" w:cs="Times New Roman"/>
          <w:lang w:val="hy-AM"/>
        </w:rPr>
        <w:t xml:space="preserve">է փուլում։ Ավելին, դիմումատուն Վերաքննիչ </w:t>
      </w:r>
      <w:r>
        <w:rPr>
          <w:rFonts w:ascii="GHEA Grapalat" w:eastAsia="Calibri" w:hAnsi="GHEA Grapalat" w:cs="Times New Roman"/>
          <w:lang w:val="hy-AM"/>
        </w:rPr>
        <w:t>դատարանում միջնորդել</w:t>
      </w:r>
      <w:r w:rsidR="00A637A7" w:rsidRPr="00A637A7">
        <w:rPr>
          <w:rFonts w:ascii="GHEA Grapalat" w:eastAsia="Calibri" w:hAnsi="GHEA Grapalat" w:cs="Times New Roman"/>
          <w:lang w:val="hy-AM"/>
        </w:rPr>
        <w:t xml:space="preserve"> է </w:t>
      </w:r>
      <w:r>
        <w:rPr>
          <w:rFonts w:ascii="GHEA Grapalat" w:eastAsia="Calibri" w:hAnsi="GHEA Grapalat" w:cs="Times New Roman"/>
          <w:lang w:val="hy-AM"/>
        </w:rPr>
        <w:t xml:space="preserve">տուժողի ընկերուհու </w:t>
      </w:r>
      <w:r w:rsidR="00A637A7" w:rsidRPr="00A637A7">
        <w:rPr>
          <w:rFonts w:ascii="GHEA Grapalat" w:eastAsia="Calibri" w:hAnsi="GHEA Grapalat" w:cs="Times New Roman"/>
          <w:lang w:val="hy-AM"/>
        </w:rPr>
        <w:t>ցուցմունքը</w:t>
      </w:r>
      <w:r>
        <w:rPr>
          <w:rFonts w:ascii="GHEA Grapalat" w:eastAsia="Calibri" w:hAnsi="GHEA Grapalat" w:cs="Times New Roman"/>
          <w:lang w:val="hy-AM"/>
        </w:rPr>
        <w:t xml:space="preserve"> ճանաչել</w:t>
      </w:r>
      <w:r w:rsidR="00A637A7" w:rsidRPr="00A637A7">
        <w:rPr>
          <w:rFonts w:ascii="GHEA Grapalat" w:eastAsia="Calibri" w:hAnsi="GHEA Grapalat" w:cs="Times New Roman"/>
          <w:lang w:val="hy-AM"/>
        </w:rPr>
        <w:t xml:space="preserve"> անընդունելի, սակայն իր պահանջը </w:t>
      </w:r>
      <w:r w:rsidR="000C4C8E">
        <w:rPr>
          <w:rFonts w:ascii="GHEA Grapalat" w:eastAsia="Calibri" w:hAnsi="GHEA Grapalat" w:cs="Times New Roman"/>
          <w:lang w:val="hy-AM"/>
        </w:rPr>
        <w:t>որև</w:t>
      </w:r>
      <w:r w:rsidR="00A637A7" w:rsidRPr="00A637A7">
        <w:rPr>
          <w:rFonts w:ascii="GHEA Grapalat" w:eastAsia="Calibri" w:hAnsi="GHEA Grapalat" w:cs="Times New Roman"/>
          <w:lang w:val="hy-AM"/>
        </w:rPr>
        <w:t>է կերպ չի բավարարվել</w:t>
      </w:r>
      <w:r>
        <w:rPr>
          <w:rFonts w:ascii="GHEA Grapalat" w:eastAsia="Calibri" w:hAnsi="GHEA Grapalat" w:cs="Times New Roman"/>
          <w:lang w:val="hy-AM"/>
        </w:rPr>
        <w:t>:</w:t>
      </w:r>
    </w:p>
    <w:p w:rsidR="00DC0D50" w:rsidRPr="00B54947" w:rsidRDefault="00D83B63" w:rsidP="00A637A7">
      <w:pPr>
        <w:tabs>
          <w:tab w:val="left" w:pos="720"/>
        </w:tabs>
        <w:spacing w:after="0" w:line="360" w:lineRule="auto"/>
        <w:jc w:val="both"/>
        <w:rPr>
          <w:rFonts w:ascii="GHEA Grapalat" w:eastAsia="Calibri" w:hAnsi="GHEA Grapalat" w:cs="Times New Roman"/>
          <w:lang w:val="hy-AM"/>
        </w:rPr>
      </w:pPr>
      <w:r>
        <w:rPr>
          <w:rFonts w:ascii="GHEA Grapalat" w:eastAsia="Calibri" w:hAnsi="GHEA Grapalat" w:cs="Times New Roman"/>
          <w:lang w:val="hy-AM"/>
        </w:rPr>
        <w:tab/>
      </w:r>
      <w:r w:rsidR="00A637A7" w:rsidRPr="00A637A7">
        <w:rPr>
          <w:rFonts w:ascii="GHEA Grapalat" w:eastAsia="Calibri" w:hAnsi="GHEA Grapalat" w:cs="Times New Roman"/>
          <w:lang w:val="hy-AM"/>
        </w:rPr>
        <w:t>Վերոնշյալ</w:t>
      </w:r>
      <w:r w:rsidR="00B54947">
        <w:rPr>
          <w:rFonts w:ascii="GHEA Grapalat" w:eastAsia="Calibri" w:hAnsi="GHEA Grapalat" w:cs="Times New Roman"/>
          <w:lang w:val="hy-AM"/>
        </w:rPr>
        <w:t>ի հիման վրա Եվրոպական դատարանն արձանագրել է,</w:t>
      </w:r>
      <w:r w:rsidR="00A637A7" w:rsidRPr="00A637A7">
        <w:rPr>
          <w:rFonts w:ascii="GHEA Grapalat" w:eastAsia="Calibri" w:hAnsi="GHEA Grapalat" w:cs="Times New Roman"/>
          <w:lang w:val="hy-AM"/>
        </w:rPr>
        <w:t xml:space="preserve"> որ անհիմն կերպով սահմանափակվել է դիմումատուի՝ </w:t>
      </w:r>
      <w:r w:rsidR="00B54947">
        <w:rPr>
          <w:rFonts w:ascii="GHEA Grapalat" w:eastAsia="Calibri" w:hAnsi="GHEA Grapalat" w:cs="Times New Roman"/>
          <w:lang w:val="hy-AM"/>
        </w:rPr>
        <w:t xml:space="preserve">տուժողի ընկերուհուն </w:t>
      </w:r>
      <w:r w:rsidR="00A637A7" w:rsidRPr="00A637A7">
        <w:rPr>
          <w:rFonts w:ascii="GHEA Grapalat" w:eastAsia="Calibri" w:hAnsi="GHEA Grapalat" w:cs="Times New Roman"/>
          <w:lang w:val="hy-AM"/>
        </w:rPr>
        <w:t xml:space="preserve">հարցաքննելու իրավունքը, ում </w:t>
      </w:r>
      <w:r w:rsidR="00B54947">
        <w:rPr>
          <w:rFonts w:ascii="GHEA Grapalat" w:eastAsia="Calibri" w:hAnsi="GHEA Grapalat" w:cs="Times New Roman"/>
          <w:lang w:val="hy-AM"/>
        </w:rPr>
        <w:t>ցուցմունքը</w:t>
      </w:r>
      <w:r w:rsidR="00A637A7" w:rsidRPr="00A637A7">
        <w:rPr>
          <w:rFonts w:ascii="GHEA Grapalat" w:eastAsia="Calibri" w:hAnsi="GHEA Grapalat" w:cs="Times New Roman"/>
          <w:lang w:val="hy-AM"/>
        </w:rPr>
        <w:t xml:space="preserve"> որոշիչ </w:t>
      </w:r>
      <w:r w:rsidR="00B54947">
        <w:rPr>
          <w:rFonts w:ascii="GHEA Grapalat" w:eastAsia="Calibri" w:hAnsi="GHEA Grapalat" w:cs="Times New Roman"/>
          <w:lang w:val="hy-AM"/>
        </w:rPr>
        <w:t>է եղել</w:t>
      </w:r>
      <w:r w:rsidR="002364D6">
        <w:rPr>
          <w:rFonts w:ascii="GHEA Grapalat" w:eastAsia="Calibri" w:hAnsi="GHEA Grapalat" w:cs="Times New Roman"/>
          <w:lang w:val="hy-AM"/>
        </w:rPr>
        <w:t xml:space="preserve"> նրա</w:t>
      </w:r>
      <w:r w:rsidR="00A637A7" w:rsidRPr="00A637A7">
        <w:rPr>
          <w:rFonts w:ascii="GHEA Grapalat" w:eastAsia="Calibri" w:hAnsi="GHEA Grapalat" w:cs="Times New Roman"/>
          <w:lang w:val="hy-AM"/>
        </w:rPr>
        <w:t xml:space="preserve"> դատապարտման</w:t>
      </w:r>
      <w:r w:rsidR="00B54947">
        <w:rPr>
          <w:rFonts w:ascii="GHEA Grapalat" w:eastAsia="Calibri" w:hAnsi="GHEA Grapalat" w:cs="Times New Roman"/>
          <w:lang w:val="hy-AM"/>
        </w:rPr>
        <w:t xml:space="preserve"> համար</w:t>
      </w:r>
      <w:r w:rsidR="00A637A7" w:rsidRPr="00A637A7">
        <w:rPr>
          <w:rFonts w:ascii="GHEA Grapalat" w:eastAsia="Calibri" w:hAnsi="GHEA Grapalat" w:cs="Times New Roman"/>
          <w:lang w:val="hy-AM"/>
        </w:rPr>
        <w:t>։</w:t>
      </w:r>
      <w:r w:rsidR="00B54947">
        <w:rPr>
          <w:rFonts w:ascii="GHEA Grapalat" w:eastAsia="Calibri" w:hAnsi="GHEA Grapalat" w:cs="Times New Roman"/>
          <w:lang w:val="hy-AM"/>
        </w:rPr>
        <w:t xml:space="preserve"> Ուստի, </w:t>
      </w:r>
      <w:r w:rsidR="00DC0D50" w:rsidRPr="001E79F8">
        <w:rPr>
          <w:rFonts w:ascii="GHEA Grapalat" w:hAnsi="GHEA Grapalat"/>
          <w:lang w:val="hy-AM"/>
        </w:rPr>
        <w:t xml:space="preserve">տեղի է ունեցել Կոնվենցիայի 6-րդ հոդվածի 1-ին կետի խախտում՝ զուգակցված 6-րդ </w:t>
      </w:r>
      <w:r w:rsidR="00DC0D50">
        <w:rPr>
          <w:rFonts w:ascii="GHEA Grapalat" w:hAnsi="GHEA Grapalat"/>
          <w:lang w:val="hy-AM"/>
        </w:rPr>
        <w:t xml:space="preserve">հոդվածի </w:t>
      </w:r>
      <w:r w:rsidR="00DC0D50" w:rsidRPr="001E79F8">
        <w:rPr>
          <w:rFonts w:ascii="GHEA Grapalat" w:hAnsi="GHEA Grapalat"/>
          <w:lang w:val="hy-AM"/>
        </w:rPr>
        <w:t xml:space="preserve">3-րդ կետի «դ» ենթակետի հետ: </w:t>
      </w:r>
    </w:p>
    <w:p w:rsidR="00DC0D50" w:rsidRDefault="00DC0D50" w:rsidP="006B7A50">
      <w:pPr>
        <w:spacing w:after="0" w:line="360" w:lineRule="auto"/>
        <w:contextualSpacing/>
        <w:jc w:val="both"/>
        <w:rPr>
          <w:rFonts w:ascii="GHEA Grapalat" w:hAnsi="GHEA Grapalat"/>
          <w:b/>
          <w:lang w:val="hy-AM"/>
        </w:rPr>
      </w:pPr>
    </w:p>
    <w:p w:rsidR="00DC0D50" w:rsidRPr="003F0E8E" w:rsidRDefault="00DC0D50" w:rsidP="00DC0D50">
      <w:pPr>
        <w:spacing w:after="0" w:line="360" w:lineRule="auto"/>
        <w:ind w:firstLine="634"/>
        <w:contextualSpacing/>
        <w:jc w:val="both"/>
        <w:rPr>
          <w:rFonts w:ascii="GHEA Grapalat" w:hAnsi="GHEA Grapalat"/>
          <w:b/>
          <w:lang w:val="hy-AM"/>
        </w:rPr>
      </w:pPr>
      <w:r w:rsidRPr="003F0E8E">
        <w:rPr>
          <w:rFonts w:ascii="GHEA Grapalat" w:hAnsi="GHEA Grapalat"/>
          <w:b/>
          <w:lang w:val="hy-AM"/>
        </w:rPr>
        <w:t>Արդարացի փոխհատուցում</w:t>
      </w:r>
    </w:p>
    <w:p w:rsidR="00DC0D50" w:rsidRDefault="00DC0D50" w:rsidP="00DC0D50">
      <w:pPr>
        <w:spacing w:after="0" w:line="360" w:lineRule="auto"/>
        <w:ind w:firstLine="634"/>
        <w:contextualSpacing/>
        <w:jc w:val="both"/>
        <w:rPr>
          <w:rFonts w:ascii="GHEA Grapalat" w:hAnsi="GHEA Grapalat"/>
          <w:lang w:val="hy-AM"/>
        </w:rPr>
      </w:pPr>
      <w:r w:rsidRPr="003F0E8E">
        <w:rPr>
          <w:rFonts w:ascii="GHEA Grapalat" w:hAnsi="GHEA Grapalat"/>
          <w:lang w:val="hy-AM"/>
        </w:rPr>
        <w:t>Դիմումատուն պահանջել է</w:t>
      </w:r>
      <w:r w:rsidR="00B54947">
        <w:rPr>
          <w:rFonts w:ascii="GHEA Grapalat" w:hAnsi="GHEA Grapalat"/>
          <w:lang w:val="hy-AM"/>
        </w:rPr>
        <w:t xml:space="preserve"> 22000 </w:t>
      </w:r>
      <w:r w:rsidRPr="003F0E8E">
        <w:rPr>
          <w:rFonts w:ascii="GHEA Grapalat" w:hAnsi="GHEA Grapalat"/>
          <w:lang w:val="hy-AM"/>
        </w:rPr>
        <w:t>եվրո</w:t>
      </w:r>
      <w:r>
        <w:rPr>
          <w:rFonts w:ascii="GHEA Grapalat" w:hAnsi="GHEA Grapalat"/>
          <w:lang w:val="hy-AM"/>
        </w:rPr>
        <w:t>՝ որպես</w:t>
      </w:r>
      <w:r w:rsidRPr="003F0E8E">
        <w:rPr>
          <w:rFonts w:ascii="GHEA Grapalat" w:hAnsi="GHEA Grapalat"/>
          <w:lang w:val="hy-AM"/>
        </w:rPr>
        <w:t xml:space="preserve"> </w:t>
      </w:r>
      <w:r w:rsidR="00B54947">
        <w:rPr>
          <w:rFonts w:ascii="GHEA Grapalat" w:hAnsi="GHEA Grapalat"/>
          <w:lang w:val="hy-AM"/>
        </w:rPr>
        <w:t xml:space="preserve">նյութական և </w:t>
      </w:r>
      <w:r w:rsidRPr="003F0E8E">
        <w:rPr>
          <w:rFonts w:ascii="GHEA Grapalat" w:hAnsi="GHEA Grapalat"/>
          <w:lang w:val="hy-AM"/>
        </w:rPr>
        <w:t>ոչ նյութական վնասի</w:t>
      </w:r>
      <w:r w:rsidR="00B54947">
        <w:rPr>
          <w:rFonts w:ascii="GHEA Grapalat" w:hAnsi="GHEA Grapalat"/>
          <w:lang w:val="hy-AM"/>
        </w:rPr>
        <w:t>, ինչպես նաև կրած ծախսերի</w:t>
      </w:r>
      <w:r w:rsidRPr="003F0E8E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հատուցում:</w:t>
      </w:r>
    </w:p>
    <w:p w:rsidR="00DC0D50" w:rsidRDefault="00DC0D50" w:rsidP="00DC0D50">
      <w:pPr>
        <w:spacing w:after="0" w:line="360" w:lineRule="auto"/>
        <w:ind w:firstLine="634"/>
        <w:contextualSpacing/>
        <w:jc w:val="both"/>
        <w:rPr>
          <w:rFonts w:ascii="GHEA Grapalat" w:hAnsi="GHEA Grapalat"/>
          <w:b/>
          <w:lang w:val="hy-AM"/>
        </w:rPr>
      </w:pPr>
      <w:r w:rsidRPr="00D762C7">
        <w:rPr>
          <w:rFonts w:ascii="GHEA Grapalat" w:hAnsi="GHEA Grapalat"/>
          <w:b/>
          <w:lang w:val="hy-AM"/>
        </w:rPr>
        <w:t xml:space="preserve">Գործի քննության արդյունքում Եվրոպական դատարանը վճռել է դիմումատուին շնորհել </w:t>
      </w:r>
      <w:r w:rsidR="00B54947">
        <w:rPr>
          <w:rFonts w:ascii="GHEA Grapalat" w:hAnsi="GHEA Grapalat"/>
          <w:b/>
          <w:lang w:val="hy-AM"/>
        </w:rPr>
        <w:t>2400</w:t>
      </w:r>
      <w:r w:rsidRPr="00D762C7">
        <w:rPr>
          <w:rFonts w:ascii="GHEA Grapalat" w:hAnsi="GHEA Grapalat"/>
          <w:b/>
          <w:lang w:val="hy-AM"/>
        </w:rPr>
        <w:t xml:space="preserve"> եվրո ոչ նյութական վնասի</w:t>
      </w:r>
      <w:r>
        <w:rPr>
          <w:rFonts w:ascii="GHEA Grapalat" w:hAnsi="GHEA Grapalat"/>
          <w:b/>
          <w:lang w:val="hy-AM"/>
        </w:rPr>
        <w:t xml:space="preserve"> դիմաց:</w:t>
      </w:r>
    </w:p>
    <w:p w:rsidR="00755AEC" w:rsidRPr="00DC0D50" w:rsidRDefault="00DC0D50" w:rsidP="00DC0D50">
      <w:pPr>
        <w:spacing w:after="0" w:line="360" w:lineRule="auto"/>
        <w:ind w:firstLine="634"/>
        <w:contextualSpacing/>
        <w:jc w:val="both"/>
        <w:rPr>
          <w:rFonts w:ascii="GHEA Grapalat" w:hAnsi="GHEA Grapalat"/>
          <w:b/>
          <w:lang w:val="hy-AM"/>
        </w:rPr>
      </w:pPr>
      <w:r w:rsidRPr="00D762C7">
        <w:rPr>
          <w:rFonts w:ascii="GHEA Grapalat" w:hAnsi="GHEA Grapalat"/>
          <w:b/>
          <w:lang w:val="hy-AM"/>
        </w:rPr>
        <w:t xml:space="preserve">Բացի այդ, </w:t>
      </w:r>
      <w:r w:rsidR="000230AF">
        <w:rPr>
          <w:rFonts w:ascii="GHEA Grapalat" w:hAnsi="GHEA Grapalat"/>
          <w:b/>
          <w:lang w:val="hy-AM"/>
        </w:rPr>
        <w:t>Դատարանն</w:t>
      </w:r>
      <w:r w:rsidRPr="00D762C7">
        <w:rPr>
          <w:rFonts w:ascii="GHEA Grapalat" w:hAnsi="GHEA Grapalat"/>
          <w:b/>
          <w:lang w:val="hy-AM"/>
        </w:rPr>
        <w:t xml:space="preserve"> իր վճռում մատնանշել է, որ այն գործերում, որտեղ արձանագրվում է Կոնվենցիայի 6-րդ հոդվածի խախտում, դիմումատուին հատուցում </w:t>
      </w:r>
      <w:r>
        <w:rPr>
          <w:rFonts w:ascii="GHEA Grapalat" w:hAnsi="GHEA Grapalat"/>
          <w:b/>
          <w:lang w:val="hy-AM"/>
        </w:rPr>
        <w:t xml:space="preserve">տրամադրելու </w:t>
      </w:r>
      <w:r w:rsidRPr="00D762C7">
        <w:rPr>
          <w:rFonts w:ascii="GHEA Grapalat" w:hAnsi="GHEA Grapalat"/>
          <w:b/>
          <w:lang w:val="hy-AM"/>
        </w:rPr>
        <w:t>լավագույն եղանակը տվյալ գործի վերաբացումն ու նոր քննությունն է</w:t>
      </w:r>
      <w:r>
        <w:rPr>
          <w:rFonts w:ascii="GHEA Grapalat" w:hAnsi="GHEA Grapalat"/>
          <w:b/>
          <w:lang w:val="hy-AM"/>
        </w:rPr>
        <w:t>՝</w:t>
      </w:r>
      <w:r w:rsidRPr="00D762C7">
        <w:rPr>
          <w:rFonts w:ascii="GHEA Grapalat" w:hAnsi="GHEA Grapalat"/>
          <w:b/>
          <w:lang w:val="hy-AM"/>
        </w:rPr>
        <w:t xml:space="preserve"> արդար դատաքննության բոլոր երաշխիքների պահպանմամբ:</w:t>
      </w:r>
    </w:p>
    <w:sectPr w:rsidR="00755AEC" w:rsidRPr="00DC0D50" w:rsidSect="006B7A50">
      <w:footerReference w:type="default" r:id="rId7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006C" w:rsidRDefault="000B006C" w:rsidP="0067161D">
      <w:pPr>
        <w:spacing w:after="0" w:line="240" w:lineRule="auto"/>
      </w:pPr>
      <w:r>
        <w:separator/>
      </w:r>
    </w:p>
  </w:endnote>
  <w:endnote w:type="continuationSeparator" w:id="1">
    <w:p w:rsidR="000B006C" w:rsidRDefault="000B006C" w:rsidP="00671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513331"/>
      <w:docPartObj>
        <w:docPartGallery w:val="Page Numbers (Bottom of Page)"/>
        <w:docPartUnique/>
      </w:docPartObj>
    </w:sdtPr>
    <w:sdtContent>
      <w:p w:rsidR="006B7A50" w:rsidRDefault="007452FF">
        <w:pPr>
          <w:pStyle w:val="Footer"/>
          <w:jc w:val="center"/>
        </w:pPr>
        <w:fldSimple w:instr=" PAGE   \* MERGEFORMAT ">
          <w:r w:rsidR="000230AF">
            <w:rPr>
              <w:noProof/>
            </w:rPr>
            <w:t>4</w:t>
          </w:r>
        </w:fldSimple>
      </w:p>
    </w:sdtContent>
  </w:sdt>
  <w:p w:rsidR="006B7A50" w:rsidRDefault="006B7A5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006C" w:rsidRDefault="000B006C" w:rsidP="0067161D">
      <w:pPr>
        <w:spacing w:after="0" w:line="240" w:lineRule="auto"/>
      </w:pPr>
      <w:r>
        <w:separator/>
      </w:r>
    </w:p>
  </w:footnote>
  <w:footnote w:type="continuationSeparator" w:id="1">
    <w:p w:rsidR="000B006C" w:rsidRDefault="000B006C" w:rsidP="006716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C0D50"/>
    <w:rsid w:val="000230AF"/>
    <w:rsid w:val="000B006C"/>
    <w:rsid w:val="000C4C8E"/>
    <w:rsid w:val="001510A8"/>
    <w:rsid w:val="002173FD"/>
    <w:rsid w:val="002364D6"/>
    <w:rsid w:val="00277D20"/>
    <w:rsid w:val="00313F82"/>
    <w:rsid w:val="004A73A3"/>
    <w:rsid w:val="00563F19"/>
    <w:rsid w:val="005D7DFC"/>
    <w:rsid w:val="005F0E0C"/>
    <w:rsid w:val="00643C67"/>
    <w:rsid w:val="00645C80"/>
    <w:rsid w:val="0067161D"/>
    <w:rsid w:val="006770E5"/>
    <w:rsid w:val="006B7A50"/>
    <w:rsid w:val="006D0E3C"/>
    <w:rsid w:val="007452FF"/>
    <w:rsid w:val="007504F5"/>
    <w:rsid w:val="00755AEC"/>
    <w:rsid w:val="007A2904"/>
    <w:rsid w:val="00880242"/>
    <w:rsid w:val="00933BE8"/>
    <w:rsid w:val="00995E3E"/>
    <w:rsid w:val="009C4069"/>
    <w:rsid w:val="00A637A7"/>
    <w:rsid w:val="00A80669"/>
    <w:rsid w:val="00A86780"/>
    <w:rsid w:val="00AD0649"/>
    <w:rsid w:val="00AE5F85"/>
    <w:rsid w:val="00B20A70"/>
    <w:rsid w:val="00B54947"/>
    <w:rsid w:val="00B71A1B"/>
    <w:rsid w:val="00BA5BA8"/>
    <w:rsid w:val="00C53347"/>
    <w:rsid w:val="00D45121"/>
    <w:rsid w:val="00D81973"/>
    <w:rsid w:val="00D83B63"/>
    <w:rsid w:val="00DC0D50"/>
    <w:rsid w:val="00DD012B"/>
    <w:rsid w:val="00F14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6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C0D5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DC0D50"/>
    <w:rPr>
      <w:rFonts w:eastAsiaTheme="minorHAnsi"/>
    </w:rPr>
  </w:style>
  <w:style w:type="paragraph" w:customStyle="1" w:styleId="ECHRParaQuote">
    <w:name w:val="ECHR_Para_Quote"/>
    <w:aliases w:val="Ju_Quot"/>
    <w:basedOn w:val="Normal"/>
    <w:uiPriority w:val="14"/>
    <w:qFormat/>
    <w:rsid w:val="00D45121"/>
    <w:pPr>
      <w:spacing w:before="120" w:after="120" w:line="240" w:lineRule="auto"/>
      <w:ind w:left="425" w:firstLine="142"/>
      <w:jc w:val="both"/>
    </w:pPr>
    <w:rPr>
      <w:sz w:val="20"/>
      <w:lang w:val="hy-AM" w:eastAsia="hy-AM" w:bidi="hy-AM"/>
    </w:rPr>
  </w:style>
  <w:style w:type="paragraph" w:customStyle="1" w:styleId="ECHRPara">
    <w:name w:val="ECHR_Para"/>
    <w:aliases w:val="Ju_Para,Left,First line:  0 cm,Para"/>
    <w:basedOn w:val="Normal"/>
    <w:link w:val="JuParaChar"/>
    <w:uiPriority w:val="12"/>
    <w:qFormat/>
    <w:rsid w:val="00D45121"/>
    <w:pPr>
      <w:spacing w:after="0" w:line="240" w:lineRule="auto"/>
      <w:ind w:firstLine="284"/>
      <w:jc w:val="both"/>
    </w:pPr>
    <w:rPr>
      <w:sz w:val="24"/>
      <w:lang w:val="hy-AM" w:eastAsia="hy-AM" w:bidi="hy-AM"/>
    </w:rPr>
  </w:style>
  <w:style w:type="character" w:customStyle="1" w:styleId="JuParaChar">
    <w:name w:val="Ju_Para Char"/>
    <w:aliases w:val="ECHR_Para Char"/>
    <w:link w:val="ECHRPara"/>
    <w:uiPriority w:val="12"/>
    <w:rsid w:val="00D45121"/>
    <w:rPr>
      <w:sz w:val="24"/>
      <w:lang w:val="hy-AM" w:eastAsia="hy-AM" w:bidi="hy-AM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FA4E3-2C37-483D-A65B-5135878D5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4</Pages>
  <Words>1104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Anna-Gevorgyan</dc:creator>
  <cp:keywords/>
  <dc:description/>
  <cp:lastModifiedBy>Anna-Gevorgyan</cp:lastModifiedBy>
  <cp:revision>7</cp:revision>
  <dcterms:created xsi:type="dcterms:W3CDTF">2017-04-18T08:34:00Z</dcterms:created>
  <dcterms:modified xsi:type="dcterms:W3CDTF">2017-04-27T12:02:00Z</dcterms:modified>
</cp:coreProperties>
</file>