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8992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7380"/>
        <w:gridCol w:w="5580"/>
      </w:tblGrid>
      <w:tr w:rsidR="00080CB5" w:rsidRPr="006D4F0D" w:rsidTr="00960CFF">
        <w:tc>
          <w:tcPr>
            <w:tcW w:w="14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9E0" w:rsidRPr="006D4F0D" w:rsidRDefault="00CC39E0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D4F0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                                                                        </w:t>
            </w:r>
          </w:p>
          <w:p w:rsidR="00336C2D" w:rsidRPr="00960CFF" w:rsidRDefault="00336C2D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960CFF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ՏԵՂԵԿԱՆՔ</w:t>
            </w:r>
          </w:p>
          <w:p w:rsidR="0018373E" w:rsidRPr="006D4F0D" w:rsidRDefault="007F0548" w:rsidP="006D4F0D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960CFF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 xml:space="preserve">«Բարձրավոլտ էլեկտրացանցեր» փակ բաժնետիրական ընկերության կանոնադրական կապիտալն ավելացնելու և 2017 թվականի գործունեության արդյունքներով Հայաստանի Հանրապետության պետական բյուջե վճարման ենթակա </w:t>
            </w:r>
            <w:proofErr w:type="spellStart"/>
            <w:r w:rsidRPr="00960CFF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շահութաբաժնի</w:t>
            </w:r>
            <w:proofErr w:type="spellEnd"/>
            <w:r w:rsidRPr="00960CFF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 xml:space="preserve"> վճարումից ազատելու մասին»</w:t>
            </w:r>
            <w:r w:rsidR="006719AC" w:rsidRPr="00960CFF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 xml:space="preserve"> </w:t>
            </w:r>
            <w:r w:rsidR="00336C2D" w:rsidRPr="00960CFF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 xml:space="preserve">ՀՀ կառավարության որոշման նախագծի կապակցությամբ </w:t>
            </w:r>
            <w:r w:rsidR="006D4F0D" w:rsidRPr="00960CFF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ՀՀ ֆինանսների նախարարության</w:t>
            </w:r>
            <w:r w:rsidR="00336C2D" w:rsidRPr="00960CFF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 xml:space="preserve"> </w:t>
            </w:r>
            <w:proofErr w:type="spellStart"/>
            <w:r w:rsidR="006D4F0D" w:rsidRPr="00960CFF">
              <w:rPr>
                <w:rFonts w:ascii="GHEA Grapalat" w:hAnsi="GHEA Grapalat" w:cs="Sylfaen"/>
                <w:b/>
                <w:sz w:val="20"/>
                <w:szCs w:val="22"/>
                <w:lang w:val="en-US"/>
              </w:rPr>
              <w:t>դիրքորոշման</w:t>
            </w:r>
            <w:proofErr w:type="spellEnd"/>
            <w:r w:rsidR="006D4F0D" w:rsidRPr="00960CFF">
              <w:rPr>
                <w:rFonts w:ascii="GHEA Grapalat" w:hAnsi="GHEA Grapalat" w:cs="Sylfaen"/>
                <w:b/>
                <w:sz w:val="20"/>
                <w:szCs w:val="22"/>
                <w:lang w:val="en-US"/>
              </w:rPr>
              <w:t xml:space="preserve"> </w:t>
            </w:r>
            <w:r w:rsidR="00336C2D" w:rsidRPr="00960CFF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վերաբերյալ</w:t>
            </w:r>
          </w:p>
        </w:tc>
      </w:tr>
      <w:tr w:rsidR="00080CB5" w:rsidRPr="006D4F0D" w:rsidTr="00960CFF">
        <w:trPr>
          <w:trHeight w:val="101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6D4F0D" w:rsidRDefault="00336C2D" w:rsidP="009E08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Առարկության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 xml:space="preserve">, 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առաջարկության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 xml:space="preserve"> 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հեղինակը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 xml:space="preserve">, 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նախարարության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 xml:space="preserve">, 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գերատեսչության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 xml:space="preserve"> 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անվանումը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 xml:space="preserve"> </w:t>
            </w:r>
            <w:r w:rsidRPr="0026764B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առարկության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 xml:space="preserve">, 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առաջարկության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 xml:space="preserve"> 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ստացման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 xml:space="preserve"> </w:t>
            </w: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ամսաթիվը</w:t>
            </w:r>
            <w:r w:rsidRPr="006D4F0D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26764B" w:rsidRDefault="00336C2D" w:rsidP="009E081A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26764B" w:rsidRDefault="00336C2D" w:rsidP="009E081A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26764B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Եզրակացություն</w:t>
            </w:r>
          </w:p>
        </w:tc>
      </w:tr>
      <w:tr w:rsidR="00080CB5" w:rsidRPr="006D4F0D" w:rsidTr="00960CFF">
        <w:trPr>
          <w:trHeight w:val="1520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548" w:rsidRPr="0026764B" w:rsidRDefault="0026764B" w:rsidP="007F0548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Ֆիննախ</w:t>
            </w:r>
            <w:proofErr w:type="spellEnd"/>
          </w:p>
          <w:p w:rsidR="004E16BE" w:rsidRPr="006D4F0D" w:rsidRDefault="007F0548" w:rsidP="007F0548">
            <w:pPr>
              <w:rPr>
                <w:rFonts w:ascii="GHEA Grapalat" w:hAnsi="GHEA Grapalat" w:cs="Sylfaen"/>
                <w:lang w:val="hy-AM"/>
              </w:rPr>
            </w:pP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(14.01.2019թ. N01/3-3/279-19)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6D4F0D" w:rsidRDefault="009028F7" w:rsidP="006D4F0D">
            <w:pPr>
              <w:ind w:firstLine="360"/>
              <w:jc w:val="both"/>
              <w:rPr>
                <w:rFonts w:ascii="GHEA Grapalat" w:eastAsia="MS Mincho" w:hAnsi="GHEA Grapalat" w:cs="Sylfaen"/>
                <w:lang w:val="hy-AM"/>
              </w:rPr>
            </w:pP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Նախագծով </w:t>
            </w:r>
            <w:r w:rsidR="004E16BE"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առաջարկվում է Ընկերությանն ազատել  </w:t>
            </w:r>
            <w:r w:rsidR="004E16BE"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ՀՀ պե</w:t>
            </w:r>
            <w:r w:rsidR="004E16BE"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տա</w:t>
            </w:r>
            <w:r w:rsidR="004E16BE"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կան բյուջե վճար</w:t>
            </w:r>
            <w:r w:rsidR="004E16BE"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ման ենթակա շահութա</w:t>
            </w:r>
            <w:r w:rsidR="004E16BE"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բաժնի պարտավորություն</w:t>
            </w:r>
            <w:r w:rsidR="004E16BE"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 xml:space="preserve">ից, ինչը համարում են անընդունելի, քանի որ բերված փաստարկները՝ որպես </w:t>
            </w:r>
            <w:r w:rsidR="004E16BE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Նախագծի ընդուն</w:t>
            </w:r>
            <w:r w:rsidR="004E16BE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</w:r>
            <w:r w:rsidR="004E16BE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 xml:space="preserve">ման անհրաժեշտության </w:t>
            </w:r>
            <w:r w:rsidR="004E16BE"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հիմ</w:t>
            </w:r>
            <w:r w:rsidR="004E16BE"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նավորում, բավարար համարվել չեն կարող նման որոշում ընդունելու համար: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C30" w:rsidRPr="00770A21" w:rsidRDefault="00866C30" w:rsidP="001858F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66C30" w:rsidRPr="00770A21" w:rsidRDefault="00866C30" w:rsidP="001858F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866C30" w:rsidRPr="00770A21" w:rsidRDefault="00866C30" w:rsidP="001858F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4E16BE" w:rsidRPr="00866C30" w:rsidRDefault="00866C30" w:rsidP="001858FF">
            <w:pPr>
              <w:spacing w:line="276" w:lineRule="auto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080CB5" w:rsidRPr="00531B79" w:rsidTr="00960CFF">
        <w:trPr>
          <w:trHeight w:val="1520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6D4F0D" w:rsidRDefault="004E16BE" w:rsidP="004E16B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6D4F0D" w:rsidRDefault="004E16BE" w:rsidP="004E16BE">
            <w:pPr>
              <w:ind w:firstLine="360"/>
              <w:jc w:val="both"/>
              <w:rPr>
                <w:rFonts w:ascii="GHEA Grapalat" w:eastAsia="MS Mincho" w:hAnsi="GHEA Grapalat" w:cs="Sylfaen"/>
                <w:lang w:val="hy-AM"/>
              </w:rPr>
            </w:pP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Մասնավորապես</w:t>
            </w:r>
            <w:r w:rsidR="006C789D"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 xml:space="preserve"> 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 xml:space="preserve">հայտնում </w:t>
            </w:r>
            <w:r w:rsidR="009028F7"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են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.</w:t>
            </w:r>
          </w:p>
          <w:p w:rsidR="004E16BE" w:rsidRPr="006D4F0D" w:rsidRDefault="004E16BE" w:rsidP="006C789D">
            <w:pPr>
              <w:ind w:firstLine="36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1.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Ընկերության կողմից տարբեր տարիներին իրականացված գործունեության արդյունք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նե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րով 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ՀՀ պե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տա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կան բյուջե վճար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ման ենթակա շահութա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բաժնի պարտավորու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թյուն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ից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Ընկերու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 xml:space="preserve">թանն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ազատելու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անհրաժեշտությունը ՀՀ հանրային ծառայությունները կար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գա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վորող հանձնաժողովի 23.12.2016թ. N421-Ա որոշ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մամբ սահմանված՝ էլեկտրաէներգիայի հաղորդման ծառայության մատուցման սակա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գնով պայմանավորելու մոտեցումը, ներառյալ՝ նոր բերված փաս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տարկներով, մնում է ան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հասկանալի: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Հարկ է նշել, որ հիշյալ սակա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գնի վերա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բերյալ դիրքորոշում արտահայտելը դուրս է ՀՀ ֆինանսների նախարարու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թյան գործա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ռույթ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ների և իրավասությունների շրջանակներից: Դրա հետ մեկտեղ, անհրա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ժեշտ է 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հաշվի առնել նաև այն հան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գամանքը, որ ՀՀ պե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տական բյուջե շահութաբաժնի վճա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րումից հետո էլ Ընկերու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թյան զուտ շահույ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թի մի զգալի մասը (վճարվելիք շահութաբաժնի չափին գրեթե հավա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սար) բոլոր դեպ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քերում մնում է Ընկերության տրամադրության տակ: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CFF" w:rsidRPr="00531B79" w:rsidRDefault="00960CFF" w:rsidP="006C789D">
            <w:pPr>
              <w:ind w:firstLine="36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  <w:p w:rsidR="006C789D" w:rsidRPr="00866C30" w:rsidRDefault="006C789D" w:rsidP="006C789D">
            <w:pPr>
              <w:ind w:firstLine="36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Ընկերությունը գործում է բնական մենաշնորհի ոլորտում` իրականացնում է էլեկտրական էներգիայի (հզորության) հաղորդում և արտադրություն` հողմակայանում:</w:t>
            </w:r>
          </w:p>
          <w:p w:rsidR="006C789D" w:rsidRPr="00866C30" w:rsidRDefault="006C789D" w:rsidP="006C789D">
            <w:pPr>
              <w:ind w:firstLine="36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 Ընկերությունը այլ գործունեություն չի իրականացնում և հասույթի ձևավորման միակ աղբյուրը Հանձնաժողովի սահմանած սակագներն են: </w:t>
            </w:r>
          </w:p>
          <w:p w:rsidR="006C789D" w:rsidRPr="00866C30" w:rsidRDefault="006C789D" w:rsidP="006C789D">
            <w:pPr>
              <w:ind w:firstLine="36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Եթե սակագների հաշվարկներում ներառված միջոցները բավարար չեն Ընկերության կողմից շահութաբաժնի վճարման համար, ապա Ընկերությունը բնականաբար </w:t>
            </w:r>
            <w:r w:rsidR="009028F7" w:rsidRP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այն </w:t>
            </w:r>
            <w:r w:rsidRP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չի կարող վճարել:</w:t>
            </w:r>
          </w:p>
          <w:p w:rsidR="006C789D" w:rsidRPr="00866C30" w:rsidRDefault="00592801" w:rsidP="00592801">
            <w:pPr>
              <w:ind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Ընկերության տրամադրության տակ մնացող` «շահույթի զգալի մասը» ուղղվելու է ֆինանսական հաշվետվությունում ցույց տրված` սակագնի հաշվարկում լրացուցիչ ներառված և փաստացի ծախս չունեցող 5,742 մլրդ դրամ եկամտից հաշվարկված 2,297 մլրդ դրամ շահութաբաժնի գումարի ծածկմանը:</w:t>
            </w:r>
          </w:p>
        </w:tc>
      </w:tr>
      <w:tr w:rsidR="00080CB5" w:rsidRPr="00531B79" w:rsidTr="00960CFF">
        <w:trPr>
          <w:trHeight w:val="1520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6D4F0D" w:rsidRDefault="004E16BE" w:rsidP="004E16B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6D4F0D" w:rsidRDefault="004E16BE" w:rsidP="00080CB5">
            <w:pPr>
              <w:ind w:firstLine="36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2. Պարզ չէ նաև Ընկերության 2017թ.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գործունեության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ֆինանսական արդյունքների մասին տարեկան հաշվետվության բացվածքը որպես լրացուցիչ փաստարկ ներկայացնելու անհրա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ժեշտությունը, քանի որ դրանում ներառված թվական տվյալների ճշգրտությունը և հավաս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տիությունը կարող է փաստվել միայն համապատասխան ստուգումների արդյունքում: Այդ կապակցությամբ, անհրաժեշտ է նշել, որ</w:t>
            </w:r>
            <w:r w:rsidRPr="006D4F0D">
              <w:rPr>
                <w:rFonts w:ascii="GHEA Grapalat" w:hAnsi="GHEA Grapalat" w:cs="Miriam Transparent"/>
                <w:sz w:val="22"/>
                <w:szCs w:val="22"/>
                <w:lang w:val="hy-AM"/>
              </w:rPr>
              <w:t xml:space="preserve"> ՀՀ վարչապետի համապատասխան հանձնա</w:t>
            </w:r>
            <w:r w:rsidRPr="006D4F0D">
              <w:rPr>
                <w:rFonts w:ascii="GHEA Grapalat" w:hAnsi="GHEA Grapalat" w:cs="Miriam Transparent"/>
                <w:sz w:val="22"/>
                <w:szCs w:val="22"/>
                <w:lang w:val="hy-AM"/>
              </w:rPr>
              <w:softHyphen/>
              <w:t>րա</w:t>
            </w:r>
            <w:r w:rsidRPr="006D4F0D">
              <w:rPr>
                <w:rFonts w:ascii="GHEA Grapalat" w:hAnsi="GHEA Grapalat" w:cs="Miriam Transparent"/>
                <w:sz w:val="22"/>
                <w:szCs w:val="22"/>
                <w:lang w:val="hy-AM"/>
              </w:rPr>
              <w:softHyphen/>
              <w:t xml:space="preserve">րականի առկայության դեպքում </w:t>
            </w:r>
            <w:r w:rsidRPr="006D4F0D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ֆինանսների նախարարության </w:t>
            </w:r>
            <w:r w:rsidRPr="006D4F0D">
              <w:rPr>
                <w:rFonts w:ascii="GHEA Grapalat" w:hAnsi="GHEA Grapalat" w:cs="Miriam Transparent"/>
                <w:sz w:val="22"/>
                <w:szCs w:val="22"/>
                <w:lang w:val="hy-AM" w:bidi="he-IL"/>
              </w:rPr>
              <w:t>ֆինանսաբյուջե</w:t>
            </w:r>
            <w:r w:rsidRPr="006D4F0D">
              <w:rPr>
                <w:rFonts w:ascii="GHEA Grapalat" w:hAnsi="GHEA Grapalat" w:cs="Miriam Transparent"/>
                <w:sz w:val="22"/>
                <w:szCs w:val="22"/>
                <w:lang w:val="hy-AM" w:bidi="he-IL"/>
              </w:rPr>
              <w:softHyphen/>
              <w:t>տա</w:t>
            </w:r>
            <w:r w:rsidRPr="006D4F0D">
              <w:rPr>
                <w:rFonts w:ascii="GHEA Grapalat" w:hAnsi="GHEA Grapalat" w:cs="Miriam Transparent"/>
                <w:sz w:val="22"/>
                <w:szCs w:val="22"/>
                <w:lang w:val="hy-AM" w:bidi="he-IL"/>
              </w:rPr>
              <w:softHyphen/>
              <w:t>յին վերահսկո</w:t>
            </w:r>
            <w:r w:rsidRPr="006D4F0D">
              <w:rPr>
                <w:rFonts w:ascii="GHEA Grapalat" w:hAnsi="GHEA Grapalat" w:cs="Miriam Transparent"/>
                <w:sz w:val="22"/>
                <w:szCs w:val="22"/>
                <w:lang w:val="hy-AM" w:bidi="he-IL"/>
              </w:rPr>
              <w:softHyphen/>
              <w:t>ղության տես</w:t>
            </w:r>
            <w:r w:rsidRPr="006D4F0D">
              <w:rPr>
                <w:rFonts w:ascii="GHEA Grapalat" w:hAnsi="GHEA Grapalat" w:cs="Miriam Transparent"/>
                <w:sz w:val="22"/>
                <w:szCs w:val="22"/>
                <w:lang w:val="hy-AM" w:bidi="he-IL"/>
              </w:rPr>
              <w:softHyphen/>
              <w:t>չությունը կարող է Ընկերությունում 2019թ. իրականացնել համա</w:t>
            </w:r>
            <w:r w:rsidRPr="006D4F0D">
              <w:rPr>
                <w:rFonts w:ascii="GHEA Grapalat" w:hAnsi="GHEA Grapalat" w:cs="Miriam Transparent"/>
                <w:sz w:val="22"/>
                <w:szCs w:val="22"/>
                <w:lang w:val="hy-AM" w:bidi="he-IL"/>
              </w:rPr>
              <w:softHyphen/>
              <w:t>պա</w:t>
            </w:r>
            <w:r w:rsidRPr="006D4F0D">
              <w:rPr>
                <w:rFonts w:ascii="GHEA Grapalat" w:hAnsi="GHEA Grapalat" w:cs="Miriam Transparent"/>
                <w:sz w:val="22"/>
                <w:szCs w:val="22"/>
                <w:lang w:val="hy-AM" w:bidi="he-IL"/>
              </w:rPr>
              <w:softHyphen/>
              <w:t xml:space="preserve">տասխան </w:t>
            </w:r>
            <w:r w:rsidRPr="006D4F0D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 xml:space="preserve">ստուգումներ, առավել ևս, որ ներկայացված տարբեր ցուցանիշների միջև առկա են որոշ անհամապատասխանություններ (օրինակ՝ 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2017թ. գործունեության արդյունքնե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րով Ընկե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րու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թյան հիմնական միջոցների արժեզրկումից վնասը մի պարագայում ներկայաց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 xml:space="preserve">վել է 1,046.8 մլն դրամ, մեկ այլ դեպքում՝ 1,146.8 մլն դրամ, իսկ Ընկերության 2017թ.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գոր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ծու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նեու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թյան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ֆինանսական արդյունքների մասին տարեկան հաշվետվության վերոհիշյալ բաց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ված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քում՝ 1,029.5 մլն դրամ, և այլն):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6D4F0D" w:rsidRDefault="00AC1A70" w:rsidP="00AC1A70">
            <w:pPr>
              <w:ind w:firstLine="36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Ընկերության 2017թ գործունեության 2-րդ ձևի բացվածքը` որպես լրացուցչի փաստարկ բերվել է նրա համար, որպեսզի հիմնավորվի, որ եթե չլինեին մ</w:t>
            </w:r>
            <w:r w:rsid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նացած գործոնները (հիմնական միջո</w:t>
            </w:r>
            <w:r w:rsidR="00866C30" w:rsidRP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ց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ների արժեզրկում` 1,147 մլրդ դրամ, արտարժույթով արտահայտված վարկային պարտավորությունների բացասական տարբերություն` 2,605 մլրդ դրամ), ապա 2017թ. արդյունքներով շահութաբաժինը կկազմեր 2,297 մլրդ դրամ և այդ չափով առաջարկություն կներկայացվեր շահութաբաժնից ազատելու վերաբերյալ:</w:t>
            </w:r>
          </w:p>
          <w:p w:rsidR="00AC1A70" w:rsidRPr="006D4F0D" w:rsidRDefault="00AC1A70" w:rsidP="00AC1A70">
            <w:pPr>
              <w:ind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Ընկերության 2017թ. գործունեության արդյունքները անցել են աուդիտ` ՀԲ-ի համար ընդունելի աուդիտորական կազմակերպության կողմից:</w:t>
            </w:r>
          </w:p>
        </w:tc>
      </w:tr>
      <w:tr w:rsidR="00080CB5" w:rsidRPr="00531B79" w:rsidTr="00960CFF">
        <w:trPr>
          <w:trHeight w:val="630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6D4F0D" w:rsidRDefault="004E16BE" w:rsidP="004E16B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6D4F0D" w:rsidRDefault="004E16BE" w:rsidP="00080CB5">
            <w:pPr>
              <w:ind w:firstLine="36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3. Տեղին չէ նաև 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ՀՀ պե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տա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կան բյուջե վճար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ման ենթակա շահութա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բաժնի պարտավորու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թյուն</w:t>
            </w:r>
            <w:r w:rsidRPr="006D4F0D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softHyphen/>
              <w:t>ից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Ըն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կերու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 xml:space="preserve">թանն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ազատելու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անհրաժեշտությունը հիմնավորելու համար Ընկերությունը հավատարմագրային կառավարման հանձնելու գործընթացի շրջանակներում որոշակի պայ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մա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նավորվածությունների հիշատակումը, քանի որ այդ պայ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մանավորվածություններն իրենց ժամա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նակին ձեռք են բերվել քաղաքա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կան որոշման արդյունքում, և ներկա փոփոխված իրա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վի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 xml:space="preserve">ճակում դրանք այլևս արդիական չեն, ինչի հավաստումն է նաև ՀՀ կառավարության 2018թ. հունիսի </w:t>
            </w:r>
            <w:r w:rsidR="00DA4557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21-ի N700-Ա որոշ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մամբ ՀՀ կա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ռավարության 24.08.2017թ. ««Բարձրավոլտ էլեկտ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րացանցեր» փակ բաժնետիրական ընկե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րության բաժնետոմսերով հավաստված իրա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վունք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ները հավատարմագրային կառավար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ման հանձնելու մասին» N1035-Ա և ՀՀ կառավա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րության 12.04.2018թ. ««Բարձրավոլտ էլեկ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տրա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ցանցեր» փակ բաժնետիրական ընկերության բաժնետոմսերով հավաստված իրավունք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ների հավատարմագրային կառավարման ծրագիրը հաստատելու մասին» N463-Ա որոշում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ներն ուժը կորցրած ճանաչելու հանգամանքը: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6D4F0D" w:rsidRDefault="00DA4557" w:rsidP="008928A5">
            <w:pPr>
              <w:ind w:firstLine="36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Համաձայն չենք, որ հավատարմագրային կառավարման գործընթացի շրջանակներում` «2,297 մլրդ դրամի չափով շահութաբաժնի պարտավորությունից Ընկերությանն ազատելու պայմանավորվածությունը» ձեռք է բերվել </w:t>
            </w:r>
            <w:r w:rsid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«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քաղաքական որոշման</w:t>
            </w:r>
            <w:r w:rsid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»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արդյունքում</w:t>
            </w:r>
            <w:r w:rsidR="00E11254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: Հ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արցը վերաբերվում էր ոչ թե հավատարմագրային կառավարչի համար նպաստավոր պայմանների ստեղծմանը, այլ Ընկերության համար ֆինանսական </w:t>
            </w:r>
            <w:r w:rsidR="008928A5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վատթարացնող 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վիճակ չստեղծել</w:t>
            </w:r>
            <w:r w:rsidR="008928A5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ուն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:</w:t>
            </w:r>
            <w:r w:rsidR="008928A5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</w:p>
          <w:p w:rsidR="008928A5" w:rsidRPr="006D4F0D" w:rsidRDefault="008928A5" w:rsidP="00866C30">
            <w:pPr>
              <w:ind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Ինչ վերաբերվում է ՀՀ կառավարության 21.06.2018թ. N700 որոշմամբ 24.08.2017թ. N1035-Ա և 12.04.2018թ. N463-Ա որոշումները ուժը կորցրած ճանաչելուն, ապա տեղեկացնում ենք, որ Ընկերության հավատարմագրային կառավարման գործընթացը չսկսելու` պայմանագիրը գործողության մեջ չդնելու նախաձեռնությունը եղել է ՀՀ էներգետիկ ենթակառուցվածքների և բնական պաշարների նախարարության կողմից, սակայն 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lastRenderedPageBreak/>
              <w:t xml:space="preserve">դրանից չի հետևում, որ Ընկերության համար ընդունված նորմատիվ կարգավորումները </w:t>
            </w:r>
            <w:r w:rsidR="00866C30" w:rsidRP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հետագայում 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չ</w:t>
            </w:r>
            <w:r w:rsidR="00866C30" w:rsidRPr="00866C30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էին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 իրականացվելու:</w:t>
            </w:r>
          </w:p>
        </w:tc>
      </w:tr>
      <w:tr w:rsidR="00080CB5" w:rsidRPr="00531B79" w:rsidTr="00960CFF">
        <w:trPr>
          <w:trHeight w:val="1520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6D4F0D" w:rsidRDefault="004E16BE" w:rsidP="004E16B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6D4F0D" w:rsidRDefault="004E16BE" w:rsidP="00080CB5">
            <w:pPr>
              <w:ind w:firstLine="360"/>
              <w:jc w:val="both"/>
              <w:rPr>
                <w:rFonts w:ascii="GHEA Grapalat" w:hAnsi="GHEA Grapalat" w:cs="Sylfaen"/>
                <w:lang w:val="fr-FR"/>
              </w:rPr>
            </w:pP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Հարկ է նշել նաև, որ որևէ ընկերության՝ շահութաբաժնի վճարման պարտավորությունից ազատելու վերաբերյալ ՀՀ կառա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  <w:t>վարության</w:t>
            </w:r>
            <w:r w:rsidRPr="006D4F0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որո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շում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սովորաբար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ընդունվում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բացառապես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ծայրահեղ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ժեշտության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դեպ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քում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երբ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տվյալ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ընկե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րության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հետա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գա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գործունեության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առնչությամբ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իրապես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լուրջ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վտանգ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ներ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ինչպիսիք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Ընկերու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թյան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պարագայում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դրու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թյամբ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մեր գնահատմամբ բացա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կայում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="00080CB5"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>: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BE" w:rsidRPr="00960CFF" w:rsidRDefault="0082279E" w:rsidP="00960CFF">
            <w:pPr>
              <w:widowControl w:val="0"/>
              <w:overflowPunct w:val="0"/>
              <w:autoSpaceDE w:val="0"/>
              <w:autoSpaceDN w:val="0"/>
              <w:adjustRightInd w:val="0"/>
              <w:ind w:right="90"/>
              <w:jc w:val="both"/>
              <w:textAlignment w:val="baseline"/>
              <w:rPr>
                <w:rFonts w:ascii="GHEA Grapalat" w:hAnsi="GHEA Grapalat"/>
                <w:bCs/>
                <w:iCs/>
                <w:lang w:val="hy-AM"/>
              </w:rPr>
            </w:pP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Այո, իրոք առկա են լուրջ վտանգներ Ընկերությանը հետագա գործունեության համար</w:t>
            </w:r>
            <w:r w:rsidRPr="00770A21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և  այդ մասին մեր կողմից </w:t>
            </w:r>
            <w:r w:rsidR="00770A21" w:rsidRPr="00770A21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Ֆինանսների նախարարությանն ուղղված 25.12.2018թ.</w:t>
            </w:r>
            <w:r w:rsidR="00960CFF" w:rsidRPr="00960CFF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r w:rsidR="00770A21" w:rsidRPr="00770A21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N01ԳԲ/19.1ԲԳ/7828-18 </w:t>
            </w:r>
            <w:r w:rsidRPr="00770A21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գրությամբ բերվել են բավարար հիմնավորումներ:</w:t>
            </w:r>
          </w:p>
        </w:tc>
      </w:tr>
      <w:tr w:rsidR="00080CB5" w:rsidRPr="00531B79" w:rsidTr="00960CFF">
        <w:trPr>
          <w:trHeight w:val="1520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CB5" w:rsidRPr="006D4F0D" w:rsidRDefault="00080CB5" w:rsidP="00080CB5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764B" w:rsidRPr="00770A21" w:rsidRDefault="00080CB5" w:rsidP="0082279E">
            <w:pPr>
              <w:ind w:firstLine="360"/>
              <w:jc w:val="both"/>
              <w:rPr>
                <w:rFonts w:ascii="GHEA Grapalat" w:hAnsi="GHEA Grapalat" w:cs="Sylfaen"/>
                <w:lang w:val="fr-FR"/>
              </w:rPr>
            </w:pP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Այսպիսով, հաշվի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առնելով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վերոգրյալը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>,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ինչպես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հանգամանքը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դեռևս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2013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. ՀՀ </w:t>
            </w:r>
            <w:proofErr w:type="spellStart"/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>Ազգային</w:t>
            </w:r>
            <w:proofErr w:type="spellEnd"/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>ժողովի</w:t>
            </w:r>
            <w:proofErr w:type="spellEnd"/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>կողմից</w:t>
            </w:r>
            <w:proofErr w:type="spellEnd"/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>ընդունված</w:t>
            </w:r>
            <w:proofErr w:type="spellEnd"/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ՀՕ-83-Ն </w:t>
            </w:r>
            <w:proofErr w:type="spellStart"/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>օրենքով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</w:rPr>
              <w:t>Իրան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-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</w:rPr>
              <w:t>Հայաստան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400 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</w:rPr>
              <w:t>ԿՎ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լար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softHyphen/>
              <w:t>ման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</w:rPr>
              <w:t>էլեկտրահա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softHyphen/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</w:rPr>
              <w:t>ղորդման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</w:rPr>
              <w:t>օդային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</w:rPr>
              <w:t>գծի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տարածքով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անցնող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հատվածի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շինարարության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աշխատանքների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նկատմամբ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հարկային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մաքսային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վճարների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</w:rPr>
              <w:t>համապատաս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softHyphen/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</w:rPr>
              <w:t>խան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արտո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softHyphen/>
              <w:t>նու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softHyphen/>
              <w:t>թյուններ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արդեն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իսկ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սահմանվել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>են</w:t>
            </w:r>
            <w:proofErr w:type="spellEnd"/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,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մեկ անգամ </w:t>
            </w:r>
            <w:proofErr w:type="spellStart"/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ևս</w:t>
            </w:r>
            <w:proofErr w:type="spellEnd"/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հայտնում են, որ Ընկերության</w:t>
            </w:r>
            <w:r w:rsidRPr="006D4F0D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2017թ. գոր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ծու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նեու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թյան արդյունք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ներով ՀՀ 2018թ. պե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տա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կան բյուջե վճար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ման ենթակա շահու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թա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բա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ժնի 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վճարման պարտավորությունից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ազա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տելու մասին ներկայացված </w:t>
            </w:r>
            <w:r w:rsidRPr="006D4F0D">
              <w:rPr>
                <w:rFonts w:ascii="GHEA Grapalat" w:hAnsi="GHEA Grapalat"/>
                <w:sz w:val="22"/>
                <w:szCs w:val="22"/>
              </w:rPr>
              <w:t>Ն</w:t>
            </w:r>
            <w:r w:rsidRPr="006D4F0D">
              <w:rPr>
                <w:rFonts w:ascii="GHEA Grapalat" w:hAnsi="GHEA Grapalat"/>
                <w:sz w:val="22"/>
                <w:szCs w:val="22"/>
                <w:lang w:val="hy-AM"/>
              </w:rPr>
              <w:t>ախա</w:t>
            </w:r>
            <w:r w:rsidRPr="006D4F0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գծի</w:t>
            </w:r>
            <w:r w:rsidRPr="006D4F0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վերաբերյալ </w:t>
            </w:r>
            <w:r w:rsidRPr="006D4F0D">
              <w:rPr>
                <w:rFonts w:ascii="GHEA Grapalat" w:hAnsi="GHEA Grapalat" w:cs="Sylfaen"/>
                <w:sz w:val="22"/>
                <w:szCs w:val="22"/>
              </w:rPr>
              <w:t>նույնպես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ՀՀ ֆինանսների նախարարության եզրակացու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թյունը բացասական է:</w:t>
            </w:r>
          </w:p>
          <w:p w:rsidR="0026764B" w:rsidRPr="00770A21" w:rsidRDefault="0026764B" w:rsidP="0082279E">
            <w:pPr>
              <w:ind w:firstLine="36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26764B" w:rsidRPr="00770A21" w:rsidRDefault="0026764B" w:rsidP="0082279E">
            <w:pPr>
              <w:ind w:firstLine="36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080CB5" w:rsidRPr="00531B79" w:rsidRDefault="00080CB5" w:rsidP="00960CFF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8F7" w:rsidRPr="006D4F0D" w:rsidRDefault="009028F7" w:rsidP="0026764B">
            <w:pPr>
              <w:ind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Հաշվի անելով օդային գծի կառուցման կարևորությունը Հայաստանի համար, ն</w:t>
            </w:r>
            <w:r w:rsidR="00E37137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շված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օրենքով արտոնություններ են </w:t>
            </w:r>
            <w:r w:rsidR="0082279E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տրամադրվել իրա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նա</w:t>
            </w:r>
            <w:r w:rsidR="0082279E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կան կողմի կազմակերպություններին (կապալառու</w:t>
            </w:r>
            <w:r w:rsidR="00E37137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ին,</w:t>
            </w:r>
            <w:r w:rsidR="0082279E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վարկատու</w:t>
            </w:r>
            <w:r w:rsidR="00E37137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ին</w:t>
            </w:r>
            <w:r w:rsidR="0082279E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, փոխատու</w:t>
            </w:r>
            <w:r w:rsidR="00E37137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ին</w:t>
            </w:r>
            <w:r w:rsidR="0082279E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, ապահովագրող</w:t>
            </w:r>
            <w:r w:rsidR="00E37137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ին</w:t>
            </w:r>
            <w:r w:rsidR="0082279E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)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, իսկ Ընկերությունը ազատվել է </w:t>
            </w:r>
            <w:r w:rsidR="00E37137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նրանց փոխարեն հարկային պարտավորություններ կրելու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ոչ ռեզիդենտի </w:t>
            </w:r>
            <w:r w:rsidR="00E37137"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պարտավորությունից:</w:t>
            </w:r>
            <w:r w:rsidR="0026764B" w:rsidRPr="0026764B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Օդային գծի կառուցումն ամբողջությամբ իրականացվում է իրանական կապալառուի կողմից, ֆինանսավորումը` իրանական բանկի և կապառուի կողմից, հարկային արտոնությունների տրամադրումը</w:t>
            </w:r>
            <w:r w:rsidR="0026764B" w:rsidRPr="0026764B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,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ըստ էության</w:t>
            </w:r>
            <w:r w:rsidR="0026764B" w:rsidRPr="0026764B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,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հայկական կողմի համաֆինանսավորումն է գծի կառուցմանը:</w:t>
            </w:r>
          </w:p>
        </w:tc>
      </w:tr>
      <w:tr w:rsidR="0026764B" w:rsidRPr="00531B79" w:rsidTr="00960CFF">
        <w:trPr>
          <w:trHeight w:val="152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B" w:rsidRPr="006D4F0D" w:rsidRDefault="0026764B" w:rsidP="00080CB5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B" w:rsidRPr="006D4F0D" w:rsidRDefault="0026764B" w:rsidP="0082279E">
            <w:pPr>
              <w:ind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Ըստ այդմ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>,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գտնում են, որ Ընկե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րու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թյանը ՀՀ պե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տական բյուջե շահու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թա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բաժնի </w:t>
            </w:r>
            <w:r w:rsidRPr="006D4F0D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վճարման պարտավորությունից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ազատելու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նույն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է՝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բյուջեից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Ընկերությանը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լրացուցիչ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ֆինանսական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միջոցներ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հատկացնելու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(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հաշվի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առնելով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բյուջեի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չստացած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եկամուտը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նույն՝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բյուջեից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կատարած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ծախսն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) 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հարցի քննարկմա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նը կա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րելի է անդրա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դառնալ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բացառապես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Ընկերության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գործունեության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օպտիմալացման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համատեքստում՝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հնարավոր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հիմնավորված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կարիքի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առկայության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6764B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6D4F0D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4B" w:rsidRPr="008C132E" w:rsidRDefault="008C132E" w:rsidP="008C132E">
            <w:pPr>
              <w:ind w:firstLine="36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ՀՀ ԷԵԲՊ</w:t>
            </w:r>
            <w:r w:rsidRPr="008C132E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Ն-ն</w:t>
            </w:r>
            <w:r w:rsidRPr="0026764B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8C132E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23.01.2019թ. N01ԳԲ/19.1ԲԳ/331-19 գրությամբ հայտնել է Վարչապետի աշխատակազմին և Ֆինանսների նախարա</w:t>
            </w:r>
            <w:r w:rsidR="00960CFF" w:rsidRPr="00960CFF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-</w:t>
            </w:r>
            <w:r w:rsidRPr="008C132E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րությանը, որ</w:t>
            </w:r>
            <w:r w:rsidRPr="0026764B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="0026764B" w:rsidRPr="0026764B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Ընկերության վարչակազմակերպական կառուցվածքի արդյունավետության բարձրացման և անձնակազմի օպտիմալացման շրջանակներում նախատեսվում է 880 հաստիքային միավորները կրճատել 180 հաստիքային միավորով</w:t>
            </w:r>
            <w:r w:rsidRPr="008C132E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և այդ գործընթացն ավարտել </w:t>
            </w:r>
            <w:r w:rsidRPr="0026764B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մինչև ս.թ. մայիսի 1-ը</w:t>
            </w:r>
            <w:r w:rsidRPr="008C132E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: </w:t>
            </w:r>
          </w:p>
        </w:tc>
      </w:tr>
    </w:tbl>
    <w:p w:rsidR="004E16BE" w:rsidRPr="006D4F0D" w:rsidRDefault="004E16BE">
      <w:pPr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sectPr w:rsidR="004E16BE" w:rsidRPr="006D4F0D" w:rsidSect="002E3961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riam Transparent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6C2D"/>
    <w:rsid w:val="0006685E"/>
    <w:rsid w:val="00071579"/>
    <w:rsid w:val="00080CB5"/>
    <w:rsid w:val="00083E25"/>
    <w:rsid w:val="000F2E1C"/>
    <w:rsid w:val="00117120"/>
    <w:rsid w:val="00151484"/>
    <w:rsid w:val="0018373E"/>
    <w:rsid w:val="001858FF"/>
    <w:rsid w:val="001C10C0"/>
    <w:rsid w:val="001F3D8A"/>
    <w:rsid w:val="002127C2"/>
    <w:rsid w:val="0026764B"/>
    <w:rsid w:val="00287403"/>
    <w:rsid w:val="002D6989"/>
    <w:rsid w:val="002E3961"/>
    <w:rsid w:val="002E4B39"/>
    <w:rsid w:val="00334833"/>
    <w:rsid w:val="00336C2D"/>
    <w:rsid w:val="003443A5"/>
    <w:rsid w:val="0035051C"/>
    <w:rsid w:val="004046EC"/>
    <w:rsid w:val="00416190"/>
    <w:rsid w:val="004474FD"/>
    <w:rsid w:val="004E16BE"/>
    <w:rsid w:val="00531B79"/>
    <w:rsid w:val="00561E5B"/>
    <w:rsid w:val="005871D4"/>
    <w:rsid w:val="00592801"/>
    <w:rsid w:val="005A7F7E"/>
    <w:rsid w:val="005C7E0D"/>
    <w:rsid w:val="005D3EF6"/>
    <w:rsid w:val="005E7A9E"/>
    <w:rsid w:val="0060190E"/>
    <w:rsid w:val="00615EA5"/>
    <w:rsid w:val="006357D6"/>
    <w:rsid w:val="006719AC"/>
    <w:rsid w:val="006C789D"/>
    <w:rsid w:val="006D4F0D"/>
    <w:rsid w:val="007049AE"/>
    <w:rsid w:val="00770A21"/>
    <w:rsid w:val="007B45E9"/>
    <w:rsid w:val="007B4A89"/>
    <w:rsid w:val="007D0867"/>
    <w:rsid w:val="007F0548"/>
    <w:rsid w:val="007F7B5A"/>
    <w:rsid w:val="0082279E"/>
    <w:rsid w:val="008630BC"/>
    <w:rsid w:val="00866C30"/>
    <w:rsid w:val="00877F0F"/>
    <w:rsid w:val="0088074E"/>
    <w:rsid w:val="00890509"/>
    <w:rsid w:val="008928A5"/>
    <w:rsid w:val="008A5841"/>
    <w:rsid w:val="008C132E"/>
    <w:rsid w:val="008C16A0"/>
    <w:rsid w:val="009028F7"/>
    <w:rsid w:val="00915198"/>
    <w:rsid w:val="00942EEC"/>
    <w:rsid w:val="00960CFF"/>
    <w:rsid w:val="009E081A"/>
    <w:rsid w:val="009E7CB9"/>
    <w:rsid w:val="00A109D8"/>
    <w:rsid w:val="00A30BAC"/>
    <w:rsid w:val="00AB4237"/>
    <w:rsid w:val="00AC1A70"/>
    <w:rsid w:val="00B04DF7"/>
    <w:rsid w:val="00B86F23"/>
    <w:rsid w:val="00BB282B"/>
    <w:rsid w:val="00BC6CAF"/>
    <w:rsid w:val="00BE5616"/>
    <w:rsid w:val="00C452F4"/>
    <w:rsid w:val="00C71679"/>
    <w:rsid w:val="00C775F1"/>
    <w:rsid w:val="00C847F7"/>
    <w:rsid w:val="00CC39E0"/>
    <w:rsid w:val="00D22A3D"/>
    <w:rsid w:val="00D47F2D"/>
    <w:rsid w:val="00DA4557"/>
    <w:rsid w:val="00DD7CE3"/>
    <w:rsid w:val="00DE2107"/>
    <w:rsid w:val="00E02F34"/>
    <w:rsid w:val="00E0579D"/>
    <w:rsid w:val="00E11254"/>
    <w:rsid w:val="00E11553"/>
    <w:rsid w:val="00E37137"/>
    <w:rsid w:val="00E47256"/>
    <w:rsid w:val="00E66EB0"/>
    <w:rsid w:val="00EF3C0F"/>
    <w:rsid w:val="00F05745"/>
    <w:rsid w:val="00F223CF"/>
    <w:rsid w:val="00F404A4"/>
    <w:rsid w:val="00F4264C"/>
    <w:rsid w:val="00F92E3B"/>
    <w:rsid w:val="00FB45DE"/>
    <w:rsid w:val="00FE75D9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C42A7-0739-46EE-9FDA-AFDF8B7E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character" w:customStyle="1" w:styleId="mechtexChar">
    <w:name w:val="mechtex Char"/>
    <w:link w:val="mechtex"/>
    <w:locked/>
    <w:rsid w:val="00CC39E0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C39E0"/>
    <w:pPr>
      <w:jc w:val="center"/>
    </w:pPr>
    <w:rPr>
      <w:rFonts w:ascii="Arial Armenian" w:hAnsi="Arial Armenian" w:cstheme="minorBidi"/>
      <w:sz w:val="22"/>
      <w:szCs w:val="22"/>
      <w:lang w:val="en-US"/>
    </w:rPr>
  </w:style>
  <w:style w:type="paragraph" w:customStyle="1" w:styleId="namak">
    <w:name w:val="namak"/>
    <w:link w:val="namak0"/>
    <w:rsid w:val="006357D6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paragraph" w:customStyle="1" w:styleId="storagrutun">
    <w:name w:val="storagrutun"/>
    <w:autoRedefine/>
    <w:rsid w:val="006357D6"/>
    <w:pPr>
      <w:spacing w:after="0" w:line="240" w:lineRule="auto"/>
      <w:jc w:val="both"/>
    </w:pPr>
    <w:rPr>
      <w:rFonts w:ascii="Sylfaen" w:eastAsia="Times New Roman" w:hAnsi="Sylfaen" w:cs="Arial"/>
      <w:b/>
      <w:bCs/>
      <w:i/>
      <w:iCs/>
      <w:sz w:val="28"/>
      <w:szCs w:val="28"/>
      <w:lang w:eastAsia="ru-RU"/>
    </w:rPr>
  </w:style>
  <w:style w:type="character" w:customStyle="1" w:styleId="namak0">
    <w:name w:val="namak Знак"/>
    <w:link w:val="namak"/>
    <w:locked/>
    <w:rsid w:val="006357D6"/>
    <w:rPr>
      <w:rFonts w:ascii="ArTarumianTimes" w:eastAsia="Times New Roman" w:hAnsi="ArTarumianTimes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Mulberry 2.0</cp:keywords>
  <cp:lastModifiedBy>Anjelika Khachanyan</cp:lastModifiedBy>
  <cp:revision>7</cp:revision>
  <cp:lastPrinted>2019-01-15T12:26:00Z</cp:lastPrinted>
  <dcterms:created xsi:type="dcterms:W3CDTF">2019-02-18T10:45:00Z</dcterms:created>
  <dcterms:modified xsi:type="dcterms:W3CDTF">2019-02-27T11:22:00Z</dcterms:modified>
</cp:coreProperties>
</file>