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54E" w:rsidRPr="00BC34B3" w:rsidRDefault="00B3354E" w:rsidP="00B3354E">
      <w:pPr>
        <w:spacing w:after="0" w:line="360" w:lineRule="auto"/>
        <w:jc w:val="center"/>
        <w:rPr>
          <w:rFonts w:ascii="GHEA Grapalat" w:hAnsi="GHEA Grapalat" w:cs="Sylfaen"/>
          <w:b/>
          <w:lang w:val="hy-AM"/>
        </w:rPr>
      </w:pPr>
      <w:r w:rsidRPr="00BC34B3">
        <w:rPr>
          <w:rFonts w:ascii="GHEA Grapalat" w:hAnsi="GHEA Grapalat" w:cs="Sylfaen"/>
          <w:b/>
        </w:rPr>
        <w:t>ՏԵՂԵԿԱՆՔ</w:t>
      </w:r>
    </w:p>
    <w:p w:rsidR="00B3354E" w:rsidRPr="00BC34B3" w:rsidRDefault="001F3F44" w:rsidP="00B3354E">
      <w:pPr>
        <w:spacing w:after="0" w:line="360" w:lineRule="auto"/>
        <w:jc w:val="center"/>
        <w:rPr>
          <w:rFonts w:ascii="GHEA Grapalat" w:hAnsi="GHEA Grapalat"/>
          <w:b/>
          <w:lang w:val="af-ZA"/>
        </w:rPr>
      </w:pPr>
      <w:r>
        <w:rPr>
          <w:rFonts w:ascii="GHEA Grapalat" w:hAnsi="GHEA Grapalat"/>
          <w:b/>
          <w:i/>
          <w:lang w:val="af-ZA"/>
        </w:rPr>
        <w:t>«</w:t>
      </w:r>
      <w:r w:rsidR="00B50A58">
        <w:rPr>
          <w:rFonts w:ascii="GHEA Grapalat" w:hAnsi="GHEA Grapalat"/>
          <w:b/>
          <w:i/>
          <w:lang w:val="af-ZA"/>
        </w:rPr>
        <w:t>Դադայանն</w:t>
      </w:r>
      <w:r w:rsidR="00B3354E" w:rsidRPr="0093200E">
        <w:rPr>
          <w:rFonts w:ascii="GHEA Grapalat" w:hAnsi="GHEA Grapalat"/>
          <w:b/>
          <w:i/>
          <w:lang w:val="af-ZA"/>
        </w:rPr>
        <w:t xml:space="preserve"> ընդդեմ Հայաստանի</w:t>
      </w:r>
      <w:r>
        <w:rPr>
          <w:rFonts w:ascii="GHEA Grapalat" w:hAnsi="GHEA Grapalat"/>
          <w:b/>
          <w:i/>
          <w:lang w:val="af-ZA"/>
        </w:rPr>
        <w:t>»</w:t>
      </w:r>
      <w:r w:rsidR="00B3354E" w:rsidRPr="00BC34B3">
        <w:rPr>
          <w:rFonts w:ascii="GHEA Grapalat" w:hAnsi="GHEA Grapalat"/>
          <w:b/>
          <w:lang w:val="af-ZA"/>
        </w:rPr>
        <w:t xml:space="preserve"> գործով (</w:t>
      </w:r>
      <w:r w:rsidR="00B3354E" w:rsidRPr="00BC34B3">
        <w:rPr>
          <w:rFonts w:ascii="GHEA Grapalat" w:hAnsi="GHEA Grapalat"/>
          <w:b/>
          <w:lang w:val="hy-AM"/>
        </w:rPr>
        <w:t>թիվ</w:t>
      </w:r>
      <w:r w:rsidR="00B3354E" w:rsidRPr="00BC34B3">
        <w:rPr>
          <w:rFonts w:ascii="GHEA Grapalat" w:hAnsi="GHEA Grapalat"/>
          <w:b/>
          <w:lang w:val="af-ZA"/>
        </w:rPr>
        <w:t xml:space="preserve"> </w:t>
      </w:r>
      <w:r w:rsidR="00B50A58">
        <w:rPr>
          <w:rFonts w:ascii="GHEA Grapalat" w:hAnsi="GHEA Grapalat"/>
          <w:b/>
          <w:lang w:val="af-ZA"/>
        </w:rPr>
        <w:t xml:space="preserve">14078/12 </w:t>
      </w:r>
      <w:r w:rsidR="00B3354E" w:rsidRPr="00BC34B3">
        <w:rPr>
          <w:rFonts w:ascii="GHEA Grapalat" w:hAnsi="GHEA Grapalat"/>
          <w:b/>
          <w:lang w:val="hy-AM"/>
        </w:rPr>
        <w:t>գանգատ</w:t>
      </w:r>
      <w:r w:rsidR="00B3354E" w:rsidRPr="00BC34B3">
        <w:rPr>
          <w:rFonts w:ascii="GHEA Grapalat" w:hAnsi="GHEA Grapalat"/>
          <w:b/>
          <w:lang w:val="af-ZA"/>
        </w:rPr>
        <w:t>)</w:t>
      </w:r>
    </w:p>
    <w:p w:rsidR="00B3354E" w:rsidRPr="000D39B7" w:rsidRDefault="00B3354E" w:rsidP="005C0F2C">
      <w:pPr>
        <w:spacing w:after="0" w:line="360" w:lineRule="auto"/>
        <w:jc w:val="center"/>
        <w:rPr>
          <w:rFonts w:ascii="GHEA Grapalat" w:hAnsi="GHEA Grapalat"/>
          <w:b/>
          <w:lang w:val="af-ZA"/>
        </w:rPr>
      </w:pPr>
      <w:r w:rsidRPr="00BC34B3">
        <w:rPr>
          <w:rFonts w:ascii="GHEA Grapalat" w:hAnsi="GHEA Grapalat"/>
          <w:b/>
          <w:lang w:val="hy-AM"/>
        </w:rPr>
        <w:t>Մարդու իրավունքների եվրոպական դատարանի կայացրած վճռի վերաբերյալ</w:t>
      </w:r>
    </w:p>
    <w:p w:rsidR="005C0F2C" w:rsidRPr="000D39B7" w:rsidRDefault="005C0F2C" w:rsidP="005C0F2C">
      <w:pPr>
        <w:spacing w:after="0" w:line="360" w:lineRule="auto"/>
        <w:jc w:val="center"/>
        <w:rPr>
          <w:rFonts w:ascii="GHEA Grapalat" w:hAnsi="GHEA Grapalat"/>
          <w:b/>
          <w:lang w:val="af-ZA"/>
        </w:rPr>
      </w:pPr>
    </w:p>
    <w:p w:rsidR="00B3354E" w:rsidRPr="00BC34B3" w:rsidRDefault="00B3354E" w:rsidP="00B3354E">
      <w:pPr>
        <w:spacing w:after="0" w:line="360" w:lineRule="auto"/>
        <w:ind w:firstLine="630"/>
        <w:contextualSpacing/>
        <w:rPr>
          <w:rFonts w:ascii="GHEA Grapalat" w:hAnsi="GHEA Grapalat"/>
          <w:b/>
          <w:lang w:val="hy-AM"/>
        </w:rPr>
      </w:pPr>
      <w:r w:rsidRPr="00BC34B3">
        <w:rPr>
          <w:rFonts w:ascii="GHEA Grapalat" w:hAnsi="GHEA Grapalat"/>
          <w:b/>
          <w:lang w:val="hy-AM"/>
        </w:rPr>
        <w:t>Գործի ելակետային տվյալները</w:t>
      </w:r>
    </w:p>
    <w:p w:rsidR="00B3354E" w:rsidRPr="00274DEC" w:rsidRDefault="00B3354E" w:rsidP="00B3354E">
      <w:pPr>
        <w:spacing w:line="360" w:lineRule="auto"/>
        <w:ind w:firstLine="634"/>
        <w:jc w:val="both"/>
        <w:rPr>
          <w:rFonts w:ascii="GHEA Grapalat" w:hAnsi="GHEA Grapalat"/>
          <w:lang w:val="hy-AM"/>
        </w:rPr>
      </w:pPr>
      <w:r w:rsidRPr="00BC34B3">
        <w:rPr>
          <w:rFonts w:ascii="GHEA Grapalat" w:hAnsi="GHEA Grapalat"/>
          <w:lang w:val="hy-AM"/>
        </w:rPr>
        <w:t>Մարդու իրավունքների եվրոպական դատարանը (այսուհետ՝ Եվրոպական դատարան</w:t>
      </w:r>
      <w:r w:rsidR="00B50A58">
        <w:rPr>
          <w:rFonts w:ascii="GHEA Grapalat" w:hAnsi="GHEA Grapalat"/>
          <w:lang w:val="hy-AM"/>
        </w:rPr>
        <w:t>) 201</w:t>
      </w:r>
      <w:r w:rsidR="00B50A58">
        <w:rPr>
          <w:rFonts w:ascii="GHEA Grapalat" w:hAnsi="GHEA Grapalat"/>
        </w:rPr>
        <w:t>8</w:t>
      </w:r>
      <w:r w:rsidRPr="00BC34B3">
        <w:rPr>
          <w:rFonts w:ascii="GHEA Grapalat" w:hAnsi="GHEA Grapalat"/>
          <w:lang w:val="hy-AM"/>
        </w:rPr>
        <w:t xml:space="preserve"> թվականի </w:t>
      </w:r>
      <w:proofErr w:type="spellStart"/>
      <w:r w:rsidR="00B50A58">
        <w:rPr>
          <w:rFonts w:ascii="GHEA Grapalat" w:hAnsi="GHEA Grapalat"/>
        </w:rPr>
        <w:t>սեպտեմբերի</w:t>
      </w:r>
      <w:proofErr w:type="spellEnd"/>
      <w:r w:rsidR="00B50A58">
        <w:rPr>
          <w:rFonts w:ascii="GHEA Grapalat" w:hAnsi="GHEA Grapalat"/>
        </w:rPr>
        <w:t xml:space="preserve"> 6</w:t>
      </w:r>
      <w:r w:rsidRPr="00BC34B3">
        <w:rPr>
          <w:rFonts w:ascii="GHEA Grapalat" w:hAnsi="GHEA Grapalat"/>
          <w:lang w:val="hy-AM"/>
        </w:rPr>
        <w:t xml:space="preserve">-ին հրապարակել է </w:t>
      </w:r>
      <w:r w:rsidR="001F3F44">
        <w:rPr>
          <w:rFonts w:ascii="GHEA Grapalat" w:hAnsi="GHEA Grapalat"/>
          <w:lang w:val="hy-AM"/>
        </w:rPr>
        <w:t>«</w:t>
      </w:r>
      <w:proofErr w:type="spellStart"/>
      <w:r w:rsidR="00B50A58">
        <w:rPr>
          <w:rFonts w:ascii="GHEA Grapalat" w:hAnsi="GHEA Grapalat"/>
          <w:i/>
        </w:rPr>
        <w:t>Դադայանն</w:t>
      </w:r>
      <w:proofErr w:type="spellEnd"/>
      <w:r w:rsidR="00274DEC" w:rsidRPr="0093200E">
        <w:rPr>
          <w:rFonts w:ascii="GHEA Grapalat" w:hAnsi="GHEA Grapalat"/>
          <w:i/>
          <w:lang w:val="hy-AM"/>
        </w:rPr>
        <w:t xml:space="preserve"> </w:t>
      </w:r>
      <w:r w:rsidRPr="0093200E">
        <w:rPr>
          <w:rFonts w:ascii="GHEA Grapalat" w:hAnsi="GHEA Grapalat"/>
          <w:i/>
          <w:lang w:val="af-ZA"/>
        </w:rPr>
        <w:t>ընդդեմ Հայաստանի</w:t>
      </w:r>
      <w:r w:rsidR="001F3F44">
        <w:rPr>
          <w:rFonts w:ascii="GHEA Grapalat" w:hAnsi="GHEA Grapalat"/>
          <w:i/>
          <w:lang w:val="af-ZA"/>
        </w:rPr>
        <w:t>»</w:t>
      </w:r>
      <w:r w:rsidRPr="0093200E">
        <w:rPr>
          <w:rFonts w:ascii="GHEA Grapalat" w:hAnsi="GHEA Grapalat"/>
          <w:i/>
          <w:lang w:val="af-ZA"/>
        </w:rPr>
        <w:t xml:space="preserve"> </w:t>
      </w:r>
      <w:r w:rsidRPr="00BC34B3">
        <w:rPr>
          <w:rFonts w:ascii="GHEA Grapalat" w:hAnsi="GHEA Grapalat"/>
          <w:lang w:val="hy-AM"/>
        </w:rPr>
        <w:t xml:space="preserve">գործով վճիռը, որով արձանագրել է Մարդու իրավունքների եվրոպական կոնվենցիայի (այսուհետ՝ Կոնվենցիա) </w:t>
      </w:r>
      <w:r w:rsidR="00274DEC" w:rsidRPr="00274DEC">
        <w:rPr>
          <w:rFonts w:ascii="GHEA Grapalat" w:hAnsi="GHEA Grapalat"/>
          <w:lang w:val="hy-AM"/>
        </w:rPr>
        <w:t>6-րդ հոդվածի 1-ին կետի և 3-րդ կետի «դ» ենթակետի խախտում:</w:t>
      </w:r>
    </w:p>
    <w:p w:rsidR="0093200E" w:rsidRPr="00136CFC" w:rsidRDefault="00B3354E" w:rsidP="00136CFC">
      <w:pPr>
        <w:spacing w:before="240" w:after="0" w:line="360" w:lineRule="auto"/>
        <w:ind w:firstLine="547"/>
        <w:rPr>
          <w:rFonts w:ascii="GHEA Grapalat" w:hAnsi="GHEA Grapalat"/>
          <w:b/>
          <w:lang w:val="hy-AM"/>
        </w:rPr>
      </w:pPr>
      <w:r w:rsidRPr="003136B6">
        <w:rPr>
          <w:rFonts w:ascii="GHEA Grapalat" w:hAnsi="GHEA Grapalat"/>
          <w:b/>
          <w:lang w:val="hy-AM"/>
        </w:rPr>
        <w:t>Գործի</w:t>
      </w:r>
      <w:r w:rsidRPr="00BC34B3">
        <w:rPr>
          <w:rFonts w:ascii="GHEA Grapalat" w:hAnsi="GHEA Grapalat"/>
          <w:b/>
          <w:lang w:val="hy-AM"/>
        </w:rPr>
        <w:t xml:space="preserve"> փաստական հանգամանքները</w:t>
      </w:r>
    </w:p>
    <w:p w:rsidR="00B50A58" w:rsidRPr="00190AE2" w:rsidRDefault="00B50A58" w:rsidP="001F3F44">
      <w:pPr>
        <w:pStyle w:val="ECHRPara"/>
        <w:tabs>
          <w:tab w:val="left" w:pos="993"/>
        </w:tabs>
        <w:spacing w:line="360" w:lineRule="auto"/>
        <w:ind w:firstLine="540"/>
        <w:rPr>
          <w:rFonts w:ascii="GHEA Grapalat" w:hAnsi="GHEA Grapalat"/>
          <w:sz w:val="22"/>
          <w:szCs w:val="24"/>
        </w:rPr>
      </w:pPr>
      <w:r w:rsidRPr="00190AE2">
        <w:rPr>
          <w:rFonts w:ascii="GHEA Grapalat" w:hAnsi="GHEA Grapalat"/>
          <w:sz w:val="22"/>
          <w:szCs w:val="24"/>
        </w:rPr>
        <w:t xml:space="preserve">2010 թվականի մարտի 11-ին երկու անձ՝ Ս.Թ.-ն </w:t>
      </w:r>
      <w:r w:rsidR="00190AE2">
        <w:rPr>
          <w:rFonts w:ascii="GHEA Grapalat" w:hAnsi="GHEA Grapalat"/>
          <w:sz w:val="22"/>
          <w:szCs w:val="24"/>
        </w:rPr>
        <w:t>և</w:t>
      </w:r>
      <w:r w:rsidRPr="00190AE2">
        <w:rPr>
          <w:rFonts w:ascii="GHEA Grapalat" w:hAnsi="GHEA Grapalat"/>
          <w:sz w:val="22"/>
          <w:szCs w:val="24"/>
        </w:rPr>
        <w:t xml:space="preserve"> Հ.Օ.-ն, Թբիլիսիում ձերբակալվել են Վրաստանի իրավապահ մարմինների կողմից, երբ փորձել են իրացնել 15 գ հարստացված ուրան, որը նրանք նույն օրը գնացքով փոխադրել էին Հայաստանից:</w:t>
      </w:r>
    </w:p>
    <w:p w:rsidR="00B50A58" w:rsidRPr="00190AE2" w:rsidRDefault="00B50A58" w:rsidP="001F3F44">
      <w:pPr>
        <w:pStyle w:val="ECHRPara"/>
        <w:tabs>
          <w:tab w:val="left" w:pos="993"/>
        </w:tabs>
        <w:spacing w:line="360" w:lineRule="auto"/>
        <w:ind w:firstLine="540"/>
        <w:rPr>
          <w:rFonts w:ascii="GHEA Grapalat" w:hAnsi="GHEA Grapalat"/>
          <w:sz w:val="22"/>
          <w:szCs w:val="24"/>
        </w:rPr>
      </w:pPr>
      <w:r w:rsidRPr="00190AE2">
        <w:rPr>
          <w:rFonts w:ascii="GHEA Grapalat" w:hAnsi="GHEA Grapalat"/>
          <w:sz w:val="22"/>
          <w:szCs w:val="24"/>
        </w:rPr>
        <w:t xml:space="preserve">2010 թվականի ապրիլին Հայաստանի ազգային անվտանգության ծառայությունը տեղեկատվություն է ստացել Վրաստանի իշխանություններից առ այն, որ Ս.Թ.-ն </w:t>
      </w:r>
      <w:r w:rsidR="00190AE2">
        <w:rPr>
          <w:rFonts w:ascii="GHEA Grapalat" w:hAnsi="GHEA Grapalat"/>
          <w:sz w:val="22"/>
          <w:szCs w:val="24"/>
        </w:rPr>
        <w:t>և</w:t>
      </w:r>
      <w:r w:rsidRPr="00190AE2">
        <w:rPr>
          <w:rFonts w:ascii="GHEA Grapalat" w:hAnsi="GHEA Grapalat"/>
          <w:sz w:val="22"/>
          <w:szCs w:val="24"/>
        </w:rPr>
        <w:t xml:space="preserve"> Հ.Օ.-ն ռադիոակտիվ նյութը ստացել էին դիմումատուից: </w:t>
      </w:r>
      <w:proofErr w:type="spellStart"/>
      <w:r w:rsidR="00190AE2">
        <w:rPr>
          <w:rFonts w:ascii="GHEA Grapalat" w:hAnsi="GHEA Grapalat"/>
          <w:sz w:val="22"/>
          <w:szCs w:val="24"/>
          <w:lang w:val="en-US"/>
        </w:rPr>
        <w:t>Վերջինիս</w:t>
      </w:r>
      <w:proofErr w:type="spellEnd"/>
      <w:r w:rsidR="00190AE2">
        <w:rPr>
          <w:rFonts w:ascii="GHEA Grapalat" w:hAnsi="GHEA Grapalat"/>
          <w:sz w:val="22"/>
          <w:szCs w:val="24"/>
          <w:lang w:val="en-US"/>
        </w:rPr>
        <w:t xml:space="preserve"> </w:t>
      </w:r>
      <w:proofErr w:type="spellStart"/>
      <w:r w:rsidR="00190AE2">
        <w:rPr>
          <w:rFonts w:ascii="GHEA Grapalat" w:hAnsi="GHEA Grapalat"/>
          <w:sz w:val="22"/>
          <w:szCs w:val="24"/>
          <w:lang w:val="en-US"/>
        </w:rPr>
        <w:t>առնչությամբ</w:t>
      </w:r>
      <w:proofErr w:type="spellEnd"/>
      <w:r w:rsidR="00190AE2">
        <w:rPr>
          <w:rFonts w:ascii="GHEA Grapalat" w:hAnsi="GHEA Grapalat"/>
          <w:sz w:val="22"/>
          <w:szCs w:val="24"/>
          <w:lang w:val="en-US"/>
        </w:rPr>
        <w:t xml:space="preserve"> </w:t>
      </w:r>
      <w:r w:rsidRPr="00190AE2">
        <w:rPr>
          <w:rFonts w:ascii="GHEA Grapalat" w:hAnsi="GHEA Grapalat"/>
          <w:sz w:val="22"/>
          <w:szCs w:val="24"/>
        </w:rPr>
        <w:t>քրեական վարույթ է հարուց</w:t>
      </w:r>
      <w:r w:rsidR="00190AE2">
        <w:rPr>
          <w:rFonts w:ascii="GHEA Grapalat" w:hAnsi="GHEA Grapalat"/>
          <w:sz w:val="22"/>
          <w:szCs w:val="24"/>
          <w:lang w:val="en-US"/>
        </w:rPr>
        <w:t>վ</w:t>
      </w:r>
      <w:r w:rsidRPr="00190AE2">
        <w:rPr>
          <w:rFonts w:ascii="GHEA Grapalat" w:hAnsi="GHEA Grapalat"/>
          <w:sz w:val="22"/>
          <w:szCs w:val="24"/>
        </w:rPr>
        <w:t>ել:</w:t>
      </w:r>
    </w:p>
    <w:p w:rsidR="00B50A58" w:rsidRPr="00190AE2" w:rsidRDefault="00B50A58" w:rsidP="001F3F44">
      <w:pPr>
        <w:pStyle w:val="ECHRPara"/>
        <w:tabs>
          <w:tab w:val="left" w:pos="993"/>
        </w:tabs>
        <w:spacing w:line="360" w:lineRule="auto"/>
        <w:ind w:firstLine="540"/>
        <w:rPr>
          <w:rFonts w:ascii="GHEA Grapalat" w:hAnsi="GHEA Grapalat"/>
          <w:sz w:val="22"/>
          <w:szCs w:val="24"/>
        </w:rPr>
      </w:pPr>
      <w:r w:rsidRPr="00190AE2">
        <w:rPr>
          <w:rFonts w:ascii="GHEA Grapalat" w:hAnsi="GHEA Grapalat"/>
          <w:sz w:val="22"/>
          <w:szCs w:val="24"/>
        </w:rPr>
        <w:t xml:space="preserve">Նույն օրը դիմումատուն ձերբակալվել է Ս.Թ.-ին </w:t>
      </w:r>
      <w:r w:rsidR="00190AE2">
        <w:rPr>
          <w:rFonts w:ascii="GHEA Grapalat" w:hAnsi="GHEA Grapalat"/>
          <w:sz w:val="22"/>
          <w:szCs w:val="24"/>
        </w:rPr>
        <w:t>և</w:t>
      </w:r>
      <w:r w:rsidRPr="00190AE2">
        <w:rPr>
          <w:rFonts w:ascii="GHEA Grapalat" w:hAnsi="GHEA Grapalat"/>
          <w:sz w:val="22"/>
          <w:szCs w:val="24"/>
        </w:rPr>
        <w:t xml:space="preserve"> Հ.Օ.-ին հանցանք կատարելու մեջ օժանդակելու </w:t>
      </w:r>
      <w:r w:rsidR="00190AE2">
        <w:rPr>
          <w:rFonts w:ascii="GHEA Grapalat" w:hAnsi="GHEA Grapalat"/>
          <w:sz w:val="22"/>
          <w:szCs w:val="24"/>
        </w:rPr>
        <w:t>և</w:t>
      </w:r>
      <w:r w:rsidRPr="00190AE2">
        <w:rPr>
          <w:rFonts w:ascii="GHEA Grapalat" w:hAnsi="GHEA Grapalat"/>
          <w:sz w:val="22"/>
          <w:szCs w:val="24"/>
        </w:rPr>
        <w:t xml:space="preserve"> դրդելու կասկածանքով</w:t>
      </w:r>
      <w:r w:rsidR="006A2BCA">
        <w:rPr>
          <w:rFonts w:ascii="GHEA Grapalat" w:hAnsi="GHEA Grapalat"/>
          <w:sz w:val="22"/>
          <w:szCs w:val="24"/>
          <w:lang w:val="en-US"/>
        </w:rPr>
        <w:t xml:space="preserve">, </w:t>
      </w:r>
      <w:proofErr w:type="spellStart"/>
      <w:r w:rsidR="006A2BCA">
        <w:rPr>
          <w:rFonts w:ascii="GHEA Grapalat" w:hAnsi="GHEA Grapalat"/>
          <w:sz w:val="22"/>
          <w:szCs w:val="24"/>
          <w:lang w:val="en-US"/>
        </w:rPr>
        <w:t>այնուհետև</w:t>
      </w:r>
      <w:proofErr w:type="spellEnd"/>
      <w:r w:rsidR="006A2BCA">
        <w:rPr>
          <w:rFonts w:ascii="GHEA Grapalat" w:hAnsi="GHEA Grapalat"/>
          <w:sz w:val="22"/>
          <w:szCs w:val="24"/>
          <w:lang w:val="en-US"/>
        </w:rPr>
        <w:t xml:space="preserve"> </w:t>
      </w:r>
      <w:proofErr w:type="spellStart"/>
      <w:r w:rsidR="006A2BCA">
        <w:rPr>
          <w:rFonts w:ascii="GHEA Grapalat" w:hAnsi="GHEA Grapalat"/>
          <w:sz w:val="22"/>
          <w:szCs w:val="24"/>
          <w:lang w:val="en-US"/>
        </w:rPr>
        <w:t>նրան</w:t>
      </w:r>
      <w:proofErr w:type="spellEnd"/>
      <w:r w:rsidR="006A2BCA">
        <w:rPr>
          <w:rFonts w:ascii="GHEA Grapalat" w:hAnsi="GHEA Grapalat"/>
          <w:sz w:val="22"/>
          <w:szCs w:val="24"/>
          <w:lang w:val="en-US"/>
        </w:rPr>
        <w:t xml:space="preserve"> </w:t>
      </w:r>
      <w:proofErr w:type="spellStart"/>
      <w:r w:rsidR="006A2BCA">
        <w:rPr>
          <w:rFonts w:ascii="GHEA Grapalat" w:hAnsi="GHEA Grapalat"/>
          <w:sz w:val="22"/>
          <w:szCs w:val="24"/>
          <w:lang w:val="en-US"/>
        </w:rPr>
        <w:t>մեղադրանք</w:t>
      </w:r>
      <w:proofErr w:type="spellEnd"/>
      <w:r w:rsidR="006A2BCA">
        <w:rPr>
          <w:rFonts w:ascii="GHEA Grapalat" w:hAnsi="GHEA Grapalat"/>
          <w:sz w:val="22"/>
          <w:szCs w:val="24"/>
          <w:lang w:val="en-US"/>
        </w:rPr>
        <w:t xml:space="preserve"> է </w:t>
      </w:r>
      <w:proofErr w:type="spellStart"/>
      <w:r w:rsidR="006A2BCA">
        <w:rPr>
          <w:rFonts w:ascii="GHEA Grapalat" w:hAnsi="GHEA Grapalat"/>
          <w:sz w:val="22"/>
          <w:szCs w:val="24"/>
          <w:lang w:val="en-US"/>
        </w:rPr>
        <w:t>առաջադրվել</w:t>
      </w:r>
      <w:proofErr w:type="spellEnd"/>
      <w:r w:rsidR="001F3F44">
        <w:rPr>
          <w:rFonts w:ascii="GHEA Grapalat" w:hAnsi="GHEA Grapalat"/>
          <w:sz w:val="22"/>
          <w:szCs w:val="24"/>
          <w:lang w:val="en-US"/>
        </w:rPr>
        <w:t>:</w:t>
      </w:r>
      <w:r w:rsidRPr="00190AE2">
        <w:rPr>
          <w:rFonts w:ascii="GHEA Grapalat" w:hAnsi="GHEA Grapalat"/>
          <w:sz w:val="22"/>
          <w:szCs w:val="24"/>
        </w:rPr>
        <w:t xml:space="preserve"> </w:t>
      </w:r>
    </w:p>
    <w:p w:rsidR="00B50A58" w:rsidRPr="00190AE2" w:rsidRDefault="00B50A58" w:rsidP="001F3F44">
      <w:pPr>
        <w:pStyle w:val="ECHRPara"/>
        <w:tabs>
          <w:tab w:val="left" w:pos="1134"/>
        </w:tabs>
        <w:spacing w:line="360" w:lineRule="auto"/>
        <w:ind w:firstLine="540"/>
        <w:rPr>
          <w:rFonts w:ascii="GHEA Grapalat" w:hAnsi="GHEA Grapalat"/>
          <w:sz w:val="22"/>
          <w:szCs w:val="24"/>
        </w:rPr>
      </w:pPr>
      <w:r w:rsidRPr="00190AE2">
        <w:rPr>
          <w:rFonts w:ascii="GHEA Grapalat" w:hAnsi="GHEA Grapalat"/>
          <w:sz w:val="22"/>
          <w:szCs w:val="24"/>
        </w:rPr>
        <w:t xml:space="preserve">Դիմումատուն չի ընդունել իրեն առաջադրված մեղադրանքը։ </w:t>
      </w:r>
    </w:p>
    <w:p w:rsidR="00B50A58" w:rsidRPr="00190AE2" w:rsidRDefault="00B50A58" w:rsidP="001F3F44">
      <w:pPr>
        <w:pStyle w:val="ECHRPara"/>
        <w:tabs>
          <w:tab w:val="left" w:pos="1134"/>
        </w:tabs>
        <w:spacing w:line="360" w:lineRule="auto"/>
        <w:ind w:firstLine="540"/>
        <w:rPr>
          <w:rFonts w:ascii="GHEA Grapalat" w:hAnsi="GHEA Grapalat"/>
          <w:sz w:val="22"/>
          <w:szCs w:val="24"/>
          <w:lang w:val="en-US"/>
        </w:rPr>
      </w:pPr>
      <w:r w:rsidRPr="00190AE2">
        <w:rPr>
          <w:rFonts w:ascii="GHEA Grapalat" w:hAnsi="GHEA Grapalat"/>
          <w:sz w:val="22"/>
          <w:szCs w:val="24"/>
        </w:rPr>
        <w:t xml:space="preserve">2010 թվականի ապրիլի 28-ին Հ.Օ.-ն որպես վկա հարցաքննվել է Վրաստանի ներքին գործերի նախարարությունում: Նա հայտնել է, որ, </w:t>
      </w:r>
      <w:r w:rsidR="00190AE2" w:rsidRPr="00190AE2">
        <w:rPr>
          <w:rFonts w:ascii="GHEA Grapalat" w:hAnsi="GHEA Grapalat"/>
          <w:i/>
          <w:sz w:val="22"/>
          <w:szCs w:val="24"/>
        </w:rPr>
        <w:t>inter alia</w:t>
      </w:r>
      <w:r w:rsidRPr="00190AE2">
        <w:rPr>
          <w:rFonts w:ascii="GHEA Grapalat" w:hAnsi="GHEA Grapalat"/>
          <w:sz w:val="22"/>
          <w:szCs w:val="24"/>
        </w:rPr>
        <w:t xml:space="preserve">, դիմումատուն տվել է իրեն 1 գ ռադիոակտիվ նյութ 2002 կամ 2003 թվականին: 2010 թվականի մարտի սկզբին ինքը </w:t>
      </w:r>
      <w:r w:rsidR="00190AE2">
        <w:rPr>
          <w:rFonts w:ascii="GHEA Grapalat" w:hAnsi="GHEA Grapalat"/>
          <w:sz w:val="22"/>
          <w:szCs w:val="24"/>
        </w:rPr>
        <w:t>և</w:t>
      </w:r>
      <w:r w:rsidRPr="00190AE2">
        <w:rPr>
          <w:rFonts w:ascii="GHEA Grapalat" w:hAnsi="GHEA Grapalat"/>
          <w:sz w:val="22"/>
          <w:szCs w:val="24"/>
        </w:rPr>
        <w:t xml:space="preserve"> Ս.Թ.-ն հարցրել էին դիմումատուին, ով այդ ժամանակ գտնվում էր Ռուսաստանում, թե արդյոք նա ի վիճակի կլինի ձեռք բերել ռադիոակտիվ նյութեր: Զրույցի ընթացքում դիմումատուն հետաքրքրվել էր նման նյութի մեկ գրամի համար առաջարկված գնի մասին: Հաջորդ օրը նա զանգահարել էր Հ.Օ.-ին </w:t>
      </w:r>
      <w:r w:rsidR="00190AE2">
        <w:rPr>
          <w:rFonts w:ascii="GHEA Grapalat" w:hAnsi="GHEA Grapalat"/>
          <w:sz w:val="22"/>
          <w:szCs w:val="24"/>
        </w:rPr>
        <w:t>և</w:t>
      </w:r>
      <w:r w:rsidRPr="00190AE2">
        <w:rPr>
          <w:rFonts w:ascii="GHEA Grapalat" w:hAnsi="GHEA Grapalat"/>
          <w:sz w:val="22"/>
          <w:szCs w:val="24"/>
        </w:rPr>
        <w:t xml:space="preserve"> առաջարկել պահանջվող ռադիոակտիվ նյութը բերել Հայաստան: Քանի որ դիմումատուն </w:t>
      </w:r>
      <w:r w:rsidR="006A2BCA" w:rsidRPr="00190AE2">
        <w:rPr>
          <w:rFonts w:ascii="GHEA Grapalat" w:hAnsi="GHEA Grapalat"/>
          <w:sz w:val="22"/>
          <w:szCs w:val="24"/>
        </w:rPr>
        <w:t xml:space="preserve">միջոցներ </w:t>
      </w:r>
      <w:r w:rsidRPr="00190AE2">
        <w:rPr>
          <w:rFonts w:ascii="GHEA Grapalat" w:hAnsi="GHEA Grapalat"/>
          <w:sz w:val="22"/>
          <w:szCs w:val="24"/>
        </w:rPr>
        <w:t xml:space="preserve">չուներ ճանապարհորդելու համար, նրանք փոխանցել էին </w:t>
      </w:r>
      <w:proofErr w:type="spellStart"/>
      <w:r w:rsidR="00E51DEB">
        <w:rPr>
          <w:rFonts w:ascii="GHEA Grapalat" w:hAnsi="GHEA Grapalat"/>
          <w:sz w:val="22"/>
          <w:szCs w:val="24"/>
          <w:lang w:val="en-US"/>
        </w:rPr>
        <w:t>ճանապարհածախսի</w:t>
      </w:r>
      <w:proofErr w:type="spellEnd"/>
      <w:r w:rsidR="00E51DEB">
        <w:rPr>
          <w:rFonts w:ascii="GHEA Grapalat" w:hAnsi="GHEA Grapalat"/>
          <w:sz w:val="22"/>
          <w:szCs w:val="24"/>
          <w:lang w:val="en-US"/>
        </w:rPr>
        <w:t xml:space="preserve"> </w:t>
      </w:r>
      <w:r w:rsidRPr="00190AE2">
        <w:rPr>
          <w:rFonts w:ascii="GHEA Grapalat" w:hAnsi="GHEA Grapalat"/>
          <w:sz w:val="22"/>
          <w:szCs w:val="24"/>
        </w:rPr>
        <w:t xml:space="preserve">գումարը: Մի քանի օր անց դիմումատուն </w:t>
      </w:r>
      <w:r w:rsidRPr="00190AE2">
        <w:rPr>
          <w:rFonts w:ascii="GHEA Grapalat" w:hAnsi="GHEA Grapalat"/>
          <w:sz w:val="22"/>
          <w:szCs w:val="24"/>
        </w:rPr>
        <w:lastRenderedPageBreak/>
        <w:t xml:space="preserve">ժամանել էր Հայաստան </w:t>
      </w:r>
      <w:r w:rsidR="00190AE2">
        <w:rPr>
          <w:rFonts w:ascii="GHEA Grapalat" w:hAnsi="GHEA Grapalat"/>
          <w:sz w:val="22"/>
          <w:szCs w:val="24"/>
        </w:rPr>
        <w:t>և</w:t>
      </w:r>
      <w:r w:rsidRPr="00190AE2">
        <w:rPr>
          <w:rFonts w:ascii="GHEA Grapalat" w:hAnsi="GHEA Grapalat"/>
          <w:sz w:val="22"/>
          <w:szCs w:val="24"/>
        </w:rPr>
        <w:t xml:space="preserve"> տվել ռադիոակտիվ նյութը Հ.Օ.-ին: Նրանք պայմանավորվել էին, որ Հ.Օ.-ն կվճարի դիմումատուին գործարքից հետո: </w:t>
      </w:r>
    </w:p>
    <w:p w:rsidR="00B50A58" w:rsidRPr="00190AE2" w:rsidRDefault="00B50A58" w:rsidP="001F3F44">
      <w:pPr>
        <w:pStyle w:val="ECHRPara"/>
        <w:tabs>
          <w:tab w:val="left" w:pos="1134"/>
        </w:tabs>
        <w:spacing w:line="360" w:lineRule="auto"/>
        <w:ind w:firstLine="540"/>
        <w:rPr>
          <w:rFonts w:ascii="GHEA Grapalat" w:hAnsi="GHEA Grapalat"/>
          <w:sz w:val="22"/>
          <w:szCs w:val="24"/>
        </w:rPr>
      </w:pPr>
      <w:r w:rsidRPr="00190AE2">
        <w:rPr>
          <w:rFonts w:ascii="GHEA Grapalat" w:hAnsi="GHEA Grapalat"/>
          <w:sz w:val="22"/>
          <w:szCs w:val="24"/>
        </w:rPr>
        <w:t xml:space="preserve">2010 թվականի ապրիլի 29-ին Ս.Թ.-ն նույնպես որպես վկա հարցաքննվել է Վրաստանի ներքին գործերի նախարարությունում: Նա հայտնել է, </w:t>
      </w:r>
      <w:r w:rsidRPr="00190AE2">
        <w:rPr>
          <w:rFonts w:ascii="GHEA Grapalat" w:hAnsi="GHEA Grapalat"/>
          <w:i/>
          <w:sz w:val="22"/>
          <w:szCs w:val="24"/>
        </w:rPr>
        <w:t>inter alia</w:t>
      </w:r>
      <w:r w:rsidRPr="00190AE2">
        <w:rPr>
          <w:rFonts w:ascii="GHEA Grapalat" w:hAnsi="GHEA Grapalat"/>
          <w:sz w:val="22"/>
          <w:szCs w:val="24"/>
        </w:rPr>
        <w:t>,</w:t>
      </w:r>
      <w:r w:rsidR="00190AE2">
        <w:rPr>
          <w:rFonts w:ascii="GHEA Grapalat" w:hAnsi="GHEA Grapalat"/>
          <w:sz w:val="22"/>
          <w:szCs w:val="24"/>
          <w:lang w:val="en-US"/>
        </w:rPr>
        <w:t xml:space="preserve"> </w:t>
      </w:r>
      <w:proofErr w:type="spellStart"/>
      <w:r w:rsidR="00190AE2">
        <w:rPr>
          <w:rFonts w:ascii="GHEA Grapalat" w:hAnsi="GHEA Grapalat"/>
          <w:sz w:val="22"/>
          <w:szCs w:val="24"/>
          <w:lang w:val="en-US"/>
        </w:rPr>
        <w:t>որ</w:t>
      </w:r>
      <w:proofErr w:type="spellEnd"/>
      <w:r w:rsidRPr="00190AE2">
        <w:rPr>
          <w:rFonts w:ascii="GHEA Grapalat" w:hAnsi="GHEA Grapalat"/>
          <w:sz w:val="22"/>
          <w:szCs w:val="24"/>
        </w:rPr>
        <w:t xml:space="preserve"> գնացել է Հայաստան </w:t>
      </w:r>
      <w:r w:rsidR="00190AE2">
        <w:rPr>
          <w:rFonts w:ascii="GHEA Grapalat" w:hAnsi="GHEA Grapalat"/>
          <w:sz w:val="22"/>
          <w:szCs w:val="24"/>
        </w:rPr>
        <w:t>և</w:t>
      </w:r>
      <w:r w:rsidRPr="00190AE2">
        <w:rPr>
          <w:rFonts w:ascii="GHEA Grapalat" w:hAnsi="GHEA Grapalat"/>
          <w:sz w:val="22"/>
          <w:szCs w:val="24"/>
        </w:rPr>
        <w:t xml:space="preserve"> խնդրել Հ.Օ.-ին գտնել դիմումատուին, որպեսզի վերջինս նրանց կարողանա ուրան տրամադրել: Ս.Թ.-ն նա</w:t>
      </w:r>
      <w:r w:rsidR="00190AE2">
        <w:rPr>
          <w:rFonts w:ascii="GHEA Grapalat" w:hAnsi="GHEA Grapalat"/>
          <w:sz w:val="22"/>
          <w:szCs w:val="24"/>
        </w:rPr>
        <w:t>և</w:t>
      </w:r>
      <w:r w:rsidRPr="00190AE2">
        <w:rPr>
          <w:rFonts w:ascii="GHEA Grapalat" w:hAnsi="GHEA Grapalat"/>
          <w:sz w:val="22"/>
          <w:szCs w:val="24"/>
        </w:rPr>
        <w:t xml:space="preserve"> նշել է, որ Հ.Օ.-ն կապի մեջ է եղել դիմումատուի հետ, ով համաձայնել էր գալ Հայաստան նրան ուրան տալու համար: Այնուհետ</w:t>
      </w:r>
      <w:r w:rsidR="00190AE2">
        <w:rPr>
          <w:rFonts w:ascii="GHEA Grapalat" w:hAnsi="GHEA Grapalat"/>
          <w:sz w:val="22"/>
          <w:szCs w:val="24"/>
        </w:rPr>
        <w:t>և</w:t>
      </w:r>
      <w:r w:rsidRPr="00190AE2">
        <w:rPr>
          <w:rFonts w:ascii="GHEA Grapalat" w:hAnsi="GHEA Grapalat"/>
          <w:sz w:val="22"/>
          <w:szCs w:val="24"/>
        </w:rPr>
        <w:t xml:space="preserve"> նրանք բանկային փոխանցմամբ դիմումատուին ճանապարհածախսի գումար են ուղարկել: Հ.Օ.-ն ռադիոակտիվ նյութը հետ է բերել Վրաստան </w:t>
      </w:r>
      <w:r w:rsidR="00190AE2">
        <w:rPr>
          <w:rFonts w:ascii="GHEA Grapalat" w:hAnsi="GHEA Grapalat"/>
          <w:sz w:val="22"/>
          <w:szCs w:val="24"/>
        </w:rPr>
        <w:t>և</w:t>
      </w:r>
      <w:r w:rsidRPr="00190AE2">
        <w:rPr>
          <w:rFonts w:ascii="GHEA Grapalat" w:hAnsi="GHEA Grapalat"/>
          <w:sz w:val="22"/>
          <w:szCs w:val="24"/>
        </w:rPr>
        <w:t xml:space="preserve"> հայտնել, որ այն վերցրել է դիմումատուից:</w:t>
      </w:r>
    </w:p>
    <w:p w:rsidR="00190AE2" w:rsidRDefault="00B50A58" w:rsidP="001F3F44">
      <w:pPr>
        <w:pStyle w:val="ECHRPara"/>
        <w:tabs>
          <w:tab w:val="left" w:pos="1134"/>
        </w:tabs>
        <w:spacing w:line="360" w:lineRule="auto"/>
        <w:ind w:firstLine="540"/>
        <w:rPr>
          <w:rFonts w:ascii="GHEA Grapalat" w:hAnsi="GHEA Grapalat"/>
          <w:sz w:val="22"/>
          <w:szCs w:val="24"/>
          <w:lang w:val="en-US"/>
        </w:rPr>
      </w:pPr>
      <w:r w:rsidRPr="00190AE2">
        <w:rPr>
          <w:rFonts w:ascii="GHEA Grapalat" w:hAnsi="GHEA Grapalat"/>
          <w:sz w:val="22"/>
          <w:szCs w:val="24"/>
        </w:rPr>
        <w:t xml:space="preserve">2010 թվականի դեկտեմբերի 8-ին ներկայացվել է վերջնական մեղադրական եզրակացությունը, </w:t>
      </w:r>
      <w:r w:rsidR="00190AE2">
        <w:rPr>
          <w:rFonts w:ascii="GHEA Grapalat" w:hAnsi="GHEA Grapalat"/>
          <w:sz w:val="22"/>
          <w:szCs w:val="24"/>
        </w:rPr>
        <w:t>և</w:t>
      </w:r>
      <w:r w:rsidRPr="00190AE2">
        <w:rPr>
          <w:rFonts w:ascii="GHEA Grapalat" w:hAnsi="GHEA Grapalat"/>
          <w:sz w:val="22"/>
          <w:szCs w:val="24"/>
        </w:rPr>
        <w:t xml:space="preserve"> գործը դատական քննության համար փոխանցվել է Տավուշի մարզային դատարան: Մեղադրական եզրակացությունը հիմնվել է</w:t>
      </w:r>
      <w:r w:rsidR="00190AE2" w:rsidRPr="00190AE2">
        <w:rPr>
          <w:rFonts w:ascii="GHEA Grapalat" w:hAnsi="GHEA Grapalat"/>
          <w:sz w:val="22"/>
          <w:szCs w:val="24"/>
        </w:rPr>
        <w:t xml:space="preserve">, </w:t>
      </w:r>
      <w:r w:rsidR="00190AE2" w:rsidRPr="00190AE2">
        <w:rPr>
          <w:rFonts w:ascii="GHEA Grapalat" w:hAnsi="GHEA Grapalat"/>
          <w:i/>
          <w:sz w:val="22"/>
          <w:szCs w:val="24"/>
        </w:rPr>
        <w:t>inter alia</w:t>
      </w:r>
      <w:r w:rsidR="00190AE2" w:rsidRPr="00190AE2">
        <w:rPr>
          <w:rFonts w:ascii="GHEA Grapalat" w:hAnsi="GHEA Grapalat"/>
          <w:sz w:val="22"/>
          <w:szCs w:val="24"/>
        </w:rPr>
        <w:t>,</w:t>
      </w:r>
      <w:r w:rsidR="00190AE2">
        <w:rPr>
          <w:rFonts w:ascii="GHEA Grapalat" w:hAnsi="GHEA Grapalat"/>
          <w:sz w:val="22"/>
          <w:szCs w:val="24"/>
          <w:lang w:val="en-US"/>
        </w:rPr>
        <w:t xml:space="preserve"> </w:t>
      </w:r>
      <w:r w:rsidRPr="00190AE2">
        <w:rPr>
          <w:rFonts w:ascii="GHEA Grapalat" w:hAnsi="GHEA Grapalat"/>
          <w:sz w:val="22"/>
          <w:szCs w:val="24"/>
        </w:rPr>
        <w:t xml:space="preserve"> Ս.Թ.-ի </w:t>
      </w:r>
      <w:r w:rsidR="00190AE2">
        <w:rPr>
          <w:rFonts w:ascii="GHEA Grapalat" w:hAnsi="GHEA Grapalat"/>
          <w:sz w:val="22"/>
          <w:szCs w:val="24"/>
        </w:rPr>
        <w:t>և</w:t>
      </w:r>
      <w:r w:rsidRPr="00190AE2">
        <w:rPr>
          <w:rFonts w:ascii="GHEA Grapalat" w:hAnsi="GHEA Grapalat"/>
          <w:sz w:val="22"/>
          <w:szCs w:val="24"/>
        </w:rPr>
        <w:t xml:space="preserve"> Հ.Օ.-ի կողմից Վրաստանում տրված ցուցմունքներ</w:t>
      </w:r>
      <w:r w:rsidR="00190AE2">
        <w:rPr>
          <w:rFonts w:ascii="GHEA Grapalat" w:hAnsi="GHEA Grapalat"/>
          <w:sz w:val="22"/>
          <w:szCs w:val="24"/>
          <w:lang w:val="en-US"/>
        </w:rPr>
        <w:t xml:space="preserve">ի </w:t>
      </w:r>
      <w:r w:rsidR="00190AE2" w:rsidRPr="00190AE2">
        <w:rPr>
          <w:rFonts w:ascii="GHEA Grapalat" w:hAnsi="GHEA Grapalat"/>
          <w:sz w:val="22"/>
          <w:szCs w:val="24"/>
        </w:rPr>
        <w:t>վրա</w:t>
      </w:r>
      <w:r w:rsidR="00190AE2">
        <w:rPr>
          <w:rFonts w:ascii="GHEA Grapalat" w:hAnsi="GHEA Grapalat"/>
          <w:sz w:val="22"/>
          <w:szCs w:val="24"/>
          <w:lang w:val="en-US"/>
        </w:rPr>
        <w:t>:</w:t>
      </w:r>
    </w:p>
    <w:p w:rsidR="00B50A58" w:rsidRPr="00190AE2" w:rsidRDefault="00B50A58" w:rsidP="001F3F44">
      <w:pPr>
        <w:pStyle w:val="ECHRPara"/>
        <w:tabs>
          <w:tab w:val="left" w:pos="1134"/>
        </w:tabs>
        <w:spacing w:line="360" w:lineRule="auto"/>
        <w:ind w:firstLine="540"/>
        <w:rPr>
          <w:rFonts w:ascii="GHEA Grapalat" w:hAnsi="GHEA Grapalat"/>
          <w:sz w:val="22"/>
          <w:szCs w:val="24"/>
        </w:rPr>
      </w:pPr>
      <w:r w:rsidRPr="00190AE2">
        <w:rPr>
          <w:rFonts w:ascii="GHEA Grapalat" w:hAnsi="GHEA Grapalat"/>
          <w:sz w:val="22"/>
          <w:szCs w:val="24"/>
        </w:rPr>
        <w:t xml:space="preserve">Մարզային դատարանում կայացած նիստերից մեկի ընթացքում, դիմումատուն միջնորդություն է ներկայացրել Վրաստանի բանտից Ս.Թ.-ին </w:t>
      </w:r>
      <w:r w:rsidR="00190AE2">
        <w:rPr>
          <w:rFonts w:ascii="GHEA Grapalat" w:hAnsi="GHEA Grapalat"/>
          <w:sz w:val="22"/>
          <w:szCs w:val="24"/>
        </w:rPr>
        <w:t>և</w:t>
      </w:r>
      <w:r w:rsidRPr="00190AE2">
        <w:rPr>
          <w:rFonts w:ascii="GHEA Grapalat" w:hAnsi="GHEA Grapalat"/>
          <w:sz w:val="22"/>
          <w:szCs w:val="24"/>
        </w:rPr>
        <w:t xml:space="preserve"> Հ.Օ.-ին ժամանակավոր փոխադրելու մասին, որպեսզի հնարավոր լիներ նրանց հարցաքննել դատական քննության ընթացքում:</w:t>
      </w:r>
    </w:p>
    <w:p w:rsidR="00B50A58" w:rsidRPr="00190AE2" w:rsidRDefault="00B50A58" w:rsidP="001F3F44">
      <w:pPr>
        <w:pStyle w:val="ECHRPara"/>
        <w:tabs>
          <w:tab w:val="left" w:pos="1134"/>
        </w:tabs>
        <w:spacing w:line="360" w:lineRule="auto"/>
        <w:ind w:firstLine="540"/>
        <w:rPr>
          <w:rFonts w:ascii="GHEA Grapalat" w:hAnsi="GHEA Grapalat"/>
          <w:sz w:val="22"/>
          <w:szCs w:val="24"/>
          <w:lang w:val="en-US"/>
        </w:rPr>
      </w:pPr>
      <w:r w:rsidRPr="00190AE2">
        <w:rPr>
          <w:rFonts w:ascii="GHEA Grapalat" w:hAnsi="GHEA Grapalat"/>
          <w:sz w:val="22"/>
          <w:szCs w:val="24"/>
        </w:rPr>
        <w:t xml:space="preserve">Նրա միջնորդությունը բավարարվել է: </w:t>
      </w:r>
    </w:p>
    <w:p w:rsidR="00B50A58" w:rsidRPr="00190AE2" w:rsidRDefault="00B50A58" w:rsidP="001F3F44">
      <w:pPr>
        <w:pStyle w:val="ECHRPara"/>
        <w:tabs>
          <w:tab w:val="left" w:pos="1134"/>
        </w:tabs>
        <w:spacing w:line="360" w:lineRule="auto"/>
        <w:ind w:firstLine="540"/>
        <w:rPr>
          <w:rFonts w:ascii="GHEA Grapalat" w:hAnsi="GHEA Grapalat"/>
          <w:sz w:val="22"/>
          <w:szCs w:val="24"/>
        </w:rPr>
      </w:pPr>
      <w:r w:rsidRPr="00190AE2">
        <w:rPr>
          <w:rFonts w:ascii="GHEA Grapalat" w:hAnsi="GHEA Grapalat"/>
          <w:sz w:val="22"/>
          <w:szCs w:val="24"/>
        </w:rPr>
        <w:t xml:space="preserve">2011 թվականի ապրիլի 29-ի գրությամբ Վրաստանի արդարադատության նախարարությունը մերժել է խնդրանքը բավարարելը՝ հղում կատարելով </w:t>
      </w:r>
      <w:r w:rsidR="00190AE2" w:rsidRPr="00190AE2">
        <w:rPr>
          <w:rFonts w:ascii="GHEA Grapalat" w:hAnsi="GHEA Grapalat"/>
          <w:sz w:val="22"/>
          <w:szCs w:val="24"/>
        </w:rPr>
        <w:t>Ստրասբուրգի՝ «Քրեական գործերով փոխադարձ օգնության մասին» 1959 թվականի կոնվենցիայի</w:t>
      </w:r>
      <w:r w:rsidRPr="00190AE2">
        <w:rPr>
          <w:rFonts w:ascii="GHEA Grapalat" w:hAnsi="GHEA Grapalat"/>
          <w:sz w:val="22"/>
          <w:szCs w:val="24"/>
        </w:rPr>
        <w:t xml:space="preserve"> 11-րդ հոդվածի 1-ին կետի «բ» ենթակետին, որի համաձայն փոխադարձ օգնության մասին խնդրանքը կարող է մերժվել, եթե</w:t>
      </w:r>
      <w:r w:rsidR="00E51DEB">
        <w:rPr>
          <w:rFonts w:ascii="GHEA Grapalat" w:hAnsi="GHEA Grapalat"/>
          <w:sz w:val="22"/>
          <w:szCs w:val="24"/>
        </w:rPr>
        <w:t xml:space="preserve"> </w:t>
      </w:r>
      <w:proofErr w:type="spellStart"/>
      <w:r w:rsidR="00E51DEB">
        <w:rPr>
          <w:rFonts w:ascii="GHEA Grapalat" w:hAnsi="GHEA Grapalat"/>
          <w:sz w:val="22"/>
          <w:szCs w:val="24"/>
          <w:lang w:val="en-US"/>
        </w:rPr>
        <w:t>փոխադրման</w:t>
      </w:r>
      <w:proofErr w:type="spellEnd"/>
      <w:r w:rsidR="00E51DEB">
        <w:rPr>
          <w:rFonts w:ascii="GHEA Grapalat" w:hAnsi="GHEA Grapalat"/>
          <w:sz w:val="22"/>
          <w:szCs w:val="24"/>
          <w:lang w:val="en-US"/>
        </w:rPr>
        <w:t xml:space="preserve"> </w:t>
      </w:r>
      <w:proofErr w:type="spellStart"/>
      <w:r w:rsidR="00E51DEB">
        <w:rPr>
          <w:rFonts w:ascii="GHEA Grapalat" w:hAnsi="GHEA Grapalat"/>
          <w:sz w:val="22"/>
          <w:szCs w:val="24"/>
          <w:lang w:val="en-US"/>
        </w:rPr>
        <w:t>ենթակա</w:t>
      </w:r>
      <w:proofErr w:type="spellEnd"/>
      <w:r w:rsidR="00E51DEB">
        <w:rPr>
          <w:rFonts w:ascii="GHEA Grapalat" w:hAnsi="GHEA Grapalat"/>
          <w:sz w:val="22"/>
          <w:szCs w:val="24"/>
          <w:lang w:val="en-US"/>
        </w:rPr>
        <w:t xml:space="preserve"> </w:t>
      </w:r>
      <w:proofErr w:type="spellStart"/>
      <w:r w:rsidR="00E51DEB">
        <w:rPr>
          <w:rFonts w:ascii="GHEA Grapalat" w:hAnsi="GHEA Grapalat"/>
          <w:sz w:val="22"/>
          <w:szCs w:val="24"/>
          <w:lang w:val="en-US"/>
        </w:rPr>
        <w:t>անձի</w:t>
      </w:r>
      <w:proofErr w:type="spellEnd"/>
      <w:r w:rsidRPr="00190AE2">
        <w:rPr>
          <w:rFonts w:ascii="GHEA Grapalat" w:hAnsi="GHEA Grapalat"/>
          <w:sz w:val="22"/>
          <w:szCs w:val="24"/>
        </w:rPr>
        <w:t xml:space="preserve"> ներկայությունն անհրաժեշտ է Հայցվող կողմի տարածքում քրեական վարույթ իրականացնելու համար: </w:t>
      </w:r>
    </w:p>
    <w:p w:rsidR="00B50A58" w:rsidRPr="00190AE2" w:rsidRDefault="00B50A58" w:rsidP="001F3F44">
      <w:pPr>
        <w:pStyle w:val="ECHRPara"/>
        <w:tabs>
          <w:tab w:val="left" w:pos="1134"/>
        </w:tabs>
        <w:spacing w:line="360" w:lineRule="auto"/>
        <w:ind w:firstLine="540"/>
        <w:rPr>
          <w:rFonts w:ascii="GHEA Grapalat" w:hAnsi="GHEA Grapalat"/>
          <w:sz w:val="22"/>
          <w:szCs w:val="24"/>
        </w:rPr>
      </w:pPr>
      <w:r w:rsidRPr="00190AE2">
        <w:rPr>
          <w:rFonts w:ascii="GHEA Grapalat" w:hAnsi="GHEA Grapalat"/>
          <w:sz w:val="22"/>
          <w:szCs w:val="24"/>
        </w:rPr>
        <w:t xml:space="preserve">2011 թվականի մայիսի 6-ին դիմումատուի ներկայացուցիչը Մարզային դատարանին իր համաձայնությունն է տվել շարունակելու գործի քննությունը նույնիսկ այն պարագայում, երբ Ս.Թ.-ին </w:t>
      </w:r>
      <w:r w:rsidR="00190AE2">
        <w:rPr>
          <w:rFonts w:ascii="GHEA Grapalat" w:hAnsi="GHEA Grapalat"/>
          <w:sz w:val="22"/>
          <w:szCs w:val="24"/>
        </w:rPr>
        <w:t>և</w:t>
      </w:r>
      <w:r w:rsidRPr="00190AE2">
        <w:rPr>
          <w:rFonts w:ascii="GHEA Grapalat" w:hAnsi="GHEA Grapalat"/>
          <w:sz w:val="22"/>
          <w:szCs w:val="24"/>
        </w:rPr>
        <w:t xml:space="preserve"> Հ.Օ.-ին հնարավոր չլինի փոխադրել Հայաստան, քանի որ դիմումատուն հիվանդ էր: Այնուամենայնիվ, նա խնդրել է դատարանին իր վճռում որպես հիմք չընդունել չներկայացած վկաների կողմից Վրաստանում տրված ցուցմունքները:</w:t>
      </w:r>
    </w:p>
    <w:p w:rsidR="00B50A58" w:rsidRPr="00190AE2" w:rsidRDefault="00B50A58" w:rsidP="001F3F44">
      <w:pPr>
        <w:pStyle w:val="ECHRPara"/>
        <w:tabs>
          <w:tab w:val="left" w:pos="1134"/>
        </w:tabs>
        <w:spacing w:line="360" w:lineRule="auto"/>
        <w:ind w:firstLine="540"/>
        <w:rPr>
          <w:rFonts w:ascii="GHEA Grapalat" w:hAnsi="GHEA Grapalat"/>
          <w:sz w:val="22"/>
          <w:szCs w:val="24"/>
        </w:rPr>
      </w:pPr>
      <w:r w:rsidRPr="00190AE2">
        <w:rPr>
          <w:rFonts w:ascii="GHEA Grapalat" w:hAnsi="GHEA Grapalat"/>
          <w:sz w:val="22"/>
          <w:szCs w:val="24"/>
        </w:rPr>
        <w:lastRenderedPageBreak/>
        <w:t>Նախագահող դատավորը 2011 թվականի մայիսի 24-ի նիստին տեղեկացրել է կողմերին Վրաստանի արդարադատության նախարարությ</w:t>
      </w:r>
      <w:proofErr w:type="spellStart"/>
      <w:r w:rsidR="00F50655">
        <w:rPr>
          <w:rFonts w:ascii="GHEA Grapalat" w:hAnsi="GHEA Grapalat"/>
          <w:sz w:val="22"/>
          <w:szCs w:val="24"/>
          <w:lang w:val="en-US"/>
        </w:rPr>
        <w:t>ունից</w:t>
      </w:r>
      <w:proofErr w:type="spellEnd"/>
      <w:r w:rsidRPr="00190AE2">
        <w:rPr>
          <w:rFonts w:ascii="GHEA Grapalat" w:hAnsi="GHEA Grapalat"/>
          <w:sz w:val="22"/>
          <w:szCs w:val="24"/>
        </w:rPr>
        <w:t xml:space="preserve"> ստացված պատասխանի մասին:</w:t>
      </w:r>
    </w:p>
    <w:p w:rsidR="00B50A58" w:rsidRPr="00190AE2" w:rsidRDefault="00B50A58" w:rsidP="001F3F44">
      <w:pPr>
        <w:pStyle w:val="ECHRPara"/>
        <w:tabs>
          <w:tab w:val="left" w:pos="1134"/>
        </w:tabs>
        <w:spacing w:line="360" w:lineRule="auto"/>
        <w:ind w:firstLine="540"/>
        <w:rPr>
          <w:rFonts w:ascii="GHEA Grapalat" w:hAnsi="GHEA Grapalat"/>
          <w:sz w:val="22"/>
          <w:szCs w:val="24"/>
          <w:lang w:val="en-US"/>
        </w:rPr>
      </w:pPr>
      <w:r w:rsidRPr="00190AE2">
        <w:rPr>
          <w:rFonts w:ascii="GHEA Grapalat" w:hAnsi="GHEA Grapalat"/>
          <w:sz w:val="22"/>
          <w:szCs w:val="24"/>
        </w:rPr>
        <w:t xml:space="preserve">2011 թվականի մայիսի 25-ին Մարզային դատարանը դիմումատուին մեղավոր է ճանաչել </w:t>
      </w:r>
      <w:r w:rsidR="00190AE2">
        <w:rPr>
          <w:rFonts w:ascii="GHEA Grapalat" w:hAnsi="GHEA Grapalat"/>
          <w:sz w:val="22"/>
          <w:szCs w:val="24"/>
        </w:rPr>
        <w:t>և</w:t>
      </w:r>
      <w:r w:rsidRPr="00190AE2">
        <w:rPr>
          <w:rFonts w:ascii="GHEA Grapalat" w:hAnsi="GHEA Grapalat"/>
          <w:sz w:val="22"/>
          <w:szCs w:val="24"/>
        </w:rPr>
        <w:t xml:space="preserve"> դատապարտել յոթ տարի ժամկետով ազատազրկման</w:t>
      </w:r>
      <w:r w:rsidR="00AC62E7">
        <w:rPr>
          <w:rFonts w:ascii="GHEA Grapalat" w:hAnsi="GHEA Grapalat"/>
          <w:sz w:val="22"/>
          <w:szCs w:val="24"/>
          <w:lang w:val="en-US"/>
        </w:rPr>
        <w:t xml:space="preserve">, </w:t>
      </w:r>
      <w:proofErr w:type="spellStart"/>
      <w:r w:rsidR="00AC62E7">
        <w:rPr>
          <w:rFonts w:ascii="GHEA Grapalat" w:hAnsi="GHEA Grapalat"/>
          <w:sz w:val="22"/>
          <w:szCs w:val="24"/>
          <w:lang w:val="en-US"/>
        </w:rPr>
        <w:t>ինչպես</w:t>
      </w:r>
      <w:proofErr w:type="spellEnd"/>
      <w:r w:rsidR="00AC62E7">
        <w:rPr>
          <w:rFonts w:ascii="GHEA Grapalat" w:hAnsi="GHEA Grapalat"/>
          <w:sz w:val="22"/>
          <w:szCs w:val="24"/>
          <w:lang w:val="en-US"/>
        </w:rPr>
        <w:t xml:space="preserve"> </w:t>
      </w:r>
      <w:proofErr w:type="spellStart"/>
      <w:r w:rsidR="00AC62E7">
        <w:rPr>
          <w:rFonts w:ascii="GHEA Grapalat" w:hAnsi="GHEA Grapalat"/>
          <w:sz w:val="22"/>
          <w:szCs w:val="24"/>
          <w:lang w:val="en-US"/>
        </w:rPr>
        <w:t>նաև</w:t>
      </w:r>
      <w:proofErr w:type="spellEnd"/>
      <w:r w:rsidRPr="00190AE2">
        <w:rPr>
          <w:rFonts w:ascii="GHEA Grapalat" w:hAnsi="GHEA Grapalat"/>
          <w:sz w:val="22"/>
          <w:szCs w:val="24"/>
        </w:rPr>
        <w:t xml:space="preserve"> որոշում </w:t>
      </w:r>
      <w:proofErr w:type="spellStart"/>
      <w:r w:rsidR="00AC62E7">
        <w:rPr>
          <w:rFonts w:ascii="GHEA Grapalat" w:hAnsi="GHEA Grapalat"/>
          <w:sz w:val="22"/>
          <w:szCs w:val="24"/>
          <w:lang w:val="en-US"/>
        </w:rPr>
        <w:t>կայացրել</w:t>
      </w:r>
      <w:proofErr w:type="spellEnd"/>
      <w:r w:rsidR="00AC62E7">
        <w:rPr>
          <w:rFonts w:ascii="GHEA Grapalat" w:hAnsi="GHEA Grapalat"/>
          <w:sz w:val="22"/>
          <w:szCs w:val="24"/>
          <w:lang w:val="en-US"/>
        </w:rPr>
        <w:t xml:space="preserve"> </w:t>
      </w:r>
      <w:r w:rsidRPr="00190AE2">
        <w:rPr>
          <w:rFonts w:ascii="GHEA Grapalat" w:hAnsi="GHEA Grapalat"/>
          <w:sz w:val="22"/>
          <w:szCs w:val="24"/>
        </w:rPr>
        <w:t>նրա գույքը բռնագրավելու մասին</w:t>
      </w:r>
      <w:r w:rsidRPr="00190AE2">
        <w:rPr>
          <w:rFonts w:ascii="GHEA Grapalat" w:hAnsi="GHEA Grapalat"/>
          <w:sz w:val="22"/>
          <w:szCs w:val="24"/>
          <w:lang w:val="en-US"/>
        </w:rPr>
        <w:t xml:space="preserve">՝ </w:t>
      </w:r>
      <w:r w:rsidRPr="00190AE2">
        <w:rPr>
          <w:rFonts w:ascii="GHEA Grapalat" w:hAnsi="GHEA Grapalat"/>
          <w:sz w:val="22"/>
          <w:szCs w:val="24"/>
        </w:rPr>
        <w:t>որպես հիմք ընդունել</w:t>
      </w:r>
      <w:proofErr w:type="spellStart"/>
      <w:r w:rsidRPr="00190AE2">
        <w:rPr>
          <w:rFonts w:ascii="GHEA Grapalat" w:hAnsi="GHEA Grapalat"/>
          <w:sz w:val="22"/>
          <w:szCs w:val="24"/>
          <w:lang w:val="en-US"/>
        </w:rPr>
        <w:t>ով</w:t>
      </w:r>
      <w:proofErr w:type="spellEnd"/>
      <w:r w:rsidRPr="00190AE2">
        <w:rPr>
          <w:rFonts w:ascii="GHEA Grapalat" w:hAnsi="GHEA Grapalat"/>
          <w:sz w:val="22"/>
          <w:szCs w:val="24"/>
          <w:lang w:val="en-US"/>
        </w:rPr>
        <w:t xml:space="preserve">, </w:t>
      </w:r>
      <w:r w:rsidRPr="00190AE2">
        <w:rPr>
          <w:rFonts w:ascii="GHEA Grapalat" w:hAnsi="GHEA Grapalat"/>
          <w:i/>
          <w:sz w:val="22"/>
          <w:szCs w:val="24"/>
        </w:rPr>
        <w:t>inter alia</w:t>
      </w:r>
      <w:r w:rsidRPr="00190AE2">
        <w:rPr>
          <w:rFonts w:ascii="GHEA Grapalat" w:hAnsi="GHEA Grapalat"/>
          <w:sz w:val="22"/>
          <w:szCs w:val="24"/>
          <w:lang w:val="en-US"/>
        </w:rPr>
        <w:t>,</w:t>
      </w:r>
      <w:r w:rsidRPr="00190AE2">
        <w:rPr>
          <w:rFonts w:ascii="GHEA Grapalat" w:hAnsi="GHEA Grapalat"/>
          <w:sz w:val="22"/>
          <w:szCs w:val="24"/>
        </w:rPr>
        <w:t xml:space="preserve"> Վրաստանում իրականացված հարցաքննության ընթացքում Ս</w:t>
      </w:r>
      <w:r w:rsidR="00AC62E7">
        <w:rPr>
          <w:rFonts w:ascii="GHEA Grapalat" w:hAnsi="GHEA Grapalat"/>
          <w:sz w:val="22"/>
          <w:szCs w:val="24"/>
        </w:rPr>
        <w:t>.</w:t>
      </w:r>
      <w:r w:rsidRPr="00190AE2">
        <w:rPr>
          <w:rFonts w:ascii="GHEA Grapalat" w:hAnsi="GHEA Grapalat"/>
          <w:sz w:val="22"/>
          <w:szCs w:val="24"/>
        </w:rPr>
        <w:t xml:space="preserve">Թ.-ի </w:t>
      </w:r>
      <w:r w:rsidR="00190AE2">
        <w:rPr>
          <w:rFonts w:ascii="GHEA Grapalat" w:hAnsi="GHEA Grapalat"/>
          <w:sz w:val="22"/>
          <w:szCs w:val="24"/>
        </w:rPr>
        <w:t>և</w:t>
      </w:r>
      <w:r w:rsidRPr="00190AE2">
        <w:rPr>
          <w:rFonts w:ascii="GHEA Grapalat" w:hAnsi="GHEA Grapalat"/>
          <w:sz w:val="22"/>
          <w:szCs w:val="24"/>
        </w:rPr>
        <w:t xml:space="preserve"> Հ</w:t>
      </w:r>
      <w:r w:rsidR="00AC62E7">
        <w:rPr>
          <w:rFonts w:ascii="GHEA Grapalat" w:hAnsi="GHEA Grapalat"/>
          <w:sz w:val="22"/>
          <w:szCs w:val="24"/>
        </w:rPr>
        <w:t>.</w:t>
      </w:r>
      <w:r w:rsidRPr="00190AE2">
        <w:rPr>
          <w:rFonts w:ascii="GHEA Grapalat" w:hAnsi="GHEA Grapalat"/>
          <w:sz w:val="22"/>
          <w:szCs w:val="24"/>
        </w:rPr>
        <w:t>Օ.-ի տված ցուցմունքները</w:t>
      </w:r>
      <w:r w:rsidRPr="00190AE2">
        <w:rPr>
          <w:rFonts w:ascii="GHEA Grapalat" w:hAnsi="GHEA Grapalat"/>
          <w:sz w:val="22"/>
          <w:szCs w:val="24"/>
          <w:lang w:val="en-US"/>
        </w:rPr>
        <w:t>:</w:t>
      </w:r>
    </w:p>
    <w:p w:rsidR="00B50A58" w:rsidRPr="00190AE2" w:rsidRDefault="00B50A58" w:rsidP="001F3F44">
      <w:pPr>
        <w:pStyle w:val="ECHRPara"/>
        <w:tabs>
          <w:tab w:val="left" w:pos="1134"/>
        </w:tabs>
        <w:spacing w:line="360" w:lineRule="auto"/>
        <w:ind w:firstLine="540"/>
        <w:rPr>
          <w:rFonts w:ascii="GHEA Grapalat" w:hAnsi="GHEA Grapalat"/>
          <w:sz w:val="22"/>
          <w:szCs w:val="24"/>
          <w:lang w:val="en-US"/>
        </w:rPr>
      </w:pPr>
      <w:r w:rsidRPr="00190AE2">
        <w:rPr>
          <w:rFonts w:ascii="GHEA Grapalat" w:hAnsi="GHEA Grapalat"/>
          <w:sz w:val="22"/>
          <w:szCs w:val="24"/>
        </w:rPr>
        <w:t xml:space="preserve">Դիմումատուն ներկայացրել է վերաքննիչ բողոք՝ բողոքելով, </w:t>
      </w:r>
      <w:r w:rsidRPr="00190AE2">
        <w:rPr>
          <w:rFonts w:ascii="GHEA Grapalat" w:hAnsi="GHEA Grapalat"/>
          <w:i/>
          <w:sz w:val="22"/>
          <w:szCs w:val="24"/>
        </w:rPr>
        <w:t>inter alia,</w:t>
      </w:r>
      <w:r w:rsidRPr="00190AE2">
        <w:rPr>
          <w:rFonts w:ascii="GHEA Grapalat" w:hAnsi="GHEA Grapalat"/>
          <w:sz w:val="22"/>
          <w:szCs w:val="24"/>
        </w:rPr>
        <w:t xml:space="preserve"> դատական քննության ժամանակ Ս</w:t>
      </w:r>
      <w:r w:rsidR="00AC62E7">
        <w:rPr>
          <w:rFonts w:ascii="GHEA Grapalat" w:hAnsi="GHEA Grapalat"/>
          <w:sz w:val="22"/>
          <w:szCs w:val="24"/>
        </w:rPr>
        <w:t>.</w:t>
      </w:r>
      <w:r w:rsidRPr="00190AE2">
        <w:rPr>
          <w:rFonts w:ascii="GHEA Grapalat" w:hAnsi="GHEA Grapalat"/>
          <w:sz w:val="22"/>
          <w:szCs w:val="24"/>
        </w:rPr>
        <w:t xml:space="preserve">Թ.-ին </w:t>
      </w:r>
      <w:r w:rsidR="00190AE2">
        <w:rPr>
          <w:rFonts w:ascii="GHEA Grapalat" w:hAnsi="GHEA Grapalat"/>
          <w:sz w:val="22"/>
          <w:szCs w:val="24"/>
        </w:rPr>
        <w:t>և</w:t>
      </w:r>
      <w:r w:rsidRPr="00190AE2">
        <w:rPr>
          <w:rFonts w:ascii="GHEA Grapalat" w:hAnsi="GHEA Grapalat"/>
          <w:sz w:val="22"/>
          <w:szCs w:val="24"/>
        </w:rPr>
        <w:t xml:space="preserve"> Հ</w:t>
      </w:r>
      <w:r w:rsidR="00AC62E7">
        <w:rPr>
          <w:rFonts w:ascii="GHEA Grapalat" w:hAnsi="GHEA Grapalat"/>
          <w:sz w:val="22"/>
          <w:szCs w:val="24"/>
        </w:rPr>
        <w:t>.</w:t>
      </w:r>
      <w:r w:rsidRPr="00190AE2">
        <w:rPr>
          <w:rFonts w:ascii="GHEA Grapalat" w:hAnsi="GHEA Grapalat"/>
          <w:sz w:val="22"/>
          <w:szCs w:val="24"/>
        </w:rPr>
        <w:t>Օ.-ին խաչաձ</w:t>
      </w:r>
      <w:r w:rsidR="00190AE2">
        <w:rPr>
          <w:rFonts w:ascii="GHEA Grapalat" w:hAnsi="GHEA Grapalat"/>
          <w:sz w:val="22"/>
          <w:szCs w:val="24"/>
        </w:rPr>
        <w:t>և</w:t>
      </w:r>
      <w:r w:rsidRPr="00190AE2">
        <w:rPr>
          <w:rFonts w:ascii="GHEA Grapalat" w:hAnsi="GHEA Grapalat"/>
          <w:sz w:val="22"/>
          <w:szCs w:val="24"/>
        </w:rPr>
        <w:t xml:space="preserve"> հարցաքննելու հնարավորության բացակայության մասով:</w:t>
      </w:r>
    </w:p>
    <w:p w:rsidR="00B50A58" w:rsidRPr="00190AE2" w:rsidRDefault="00B50A58" w:rsidP="001F3F44">
      <w:pPr>
        <w:pStyle w:val="ECHRPara"/>
        <w:tabs>
          <w:tab w:val="left" w:pos="1134"/>
        </w:tabs>
        <w:spacing w:line="360" w:lineRule="auto"/>
        <w:ind w:firstLine="540"/>
        <w:rPr>
          <w:rFonts w:ascii="GHEA Grapalat" w:hAnsi="GHEA Grapalat"/>
          <w:sz w:val="22"/>
          <w:szCs w:val="24"/>
          <w:lang w:val="en-US"/>
        </w:rPr>
      </w:pPr>
      <w:r w:rsidRPr="00190AE2">
        <w:rPr>
          <w:rFonts w:ascii="GHEA Grapalat" w:hAnsi="GHEA Grapalat"/>
          <w:sz w:val="22"/>
          <w:szCs w:val="24"/>
        </w:rPr>
        <w:t>2011 թվականի հուլիսի 13-ին Վերաքննիչ քրեական դատարանն անփոփոխ է թողել դիմումատուի մեղադրական դատավճիռը։</w:t>
      </w:r>
    </w:p>
    <w:p w:rsidR="00B50A58" w:rsidRPr="00190AE2" w:rsidRDefault="00B50A58" w:rsidP="001F3F44">
      <w:pPr>
        <w:pStyle w:val="ECHRPara"/>
        <w:tabs>
          <w:tab w:val="left" w:pos="1134"/>
        </w:tabs>
        <w:spacing w:line="360" w:lineRule="auto"/>
        <w:ind w:firstLine="540"/>
        <w:rPr>
          <w:rFonts w:ascii="GHEA Grapalat" w:hAnsi="GHEA Grapalat"/>
          <w:sz w:val="22"/>
          <w:szCs w:val="24"/>
          <w:lang w:val="en-US"/>
        </w:rPr>
      </w:pPr>
      <w:r w:rsidRPr="00190AE2">
        <w:rPr>
          <w:rFonts w:ascii="GHEA Grapalat" w:hAnsi="GHEA Grapalat"/>
          <w:sz w:val="22"/>
          <w:szCs w:val="24"/>
        </w:rPr>
        <w:t>Դիմումատուն ներկայացրել է վճռաբեկ բողոք</w:t>
      </w:r>
      <w:r w:rsidRPr="00190AE2">
        <w:rPr>
          <w:rFonts w:ascii="GHEA Grapalat" w:hAnsi="GHEA Grapalat"/>
          <w:sz w:val="22"/>
          <w:szCs w:val="24"/>
          <w:lang w:val="en-US"/>
        </w:rPr>
        <w:t>:</w:t>
      </w:r>
    </w:p>
    <w:p w:rsidR="00B50A58" w:rsidRPr="00190AE2" w:rsidRDefault="00B50A58" w:rsidP="001F3F44">
      <w:pPr>
        <w:pStyle w:val="ECHRPara"/>
        <w:tabs>
          <w:tab w:val="left" w:pos="1134"/>
        </w:tabs>
        <w:spacing w:line="360" w:lineRule="auto"/>
        <w:ind w:firstLine="540"/>
        <w:rPr>
          <w:rFonts w:ascii="GHEA Grapalat" w:hAnsi="GHEA Grapalat"/>
          <w:sz w:val="22"/>
          <w:szCs w:val="24"/>
        </w:rPr>
      </w:pPr>
      <w:r w:rsidRPr="00190AE2">
        <w:rPr>
          <w:rFonts w:ascii="GHEA Grapalat" w:hAnsi="GHEA Grapalat"/>
          <w:sz w:val="22"/>
          <w:szCs w:val="24"/>
        </w:rPr>
        <w:t>Վճռաբեկ դատարանը հիմքերի բացակայության պատճառով անընդունելի է ճանաչել դիմումատուի վճռաբեկ բողոքը:</w:t>
      </w:r>
    </w:p>
    <w:p w:rsidR="009350E8" w:rsidRPr="009350E8" w:rsidRDefault="009350E8" w:rsidP="001F3F44">
      <w:pPr>
        <w:spacing w:after="0" w:line="360" w:lineRule="auto"/>
        <w:ind w:firstLine="540"/>
        <w:contextualSpacing/>
        <w:jc w:val="both"/>
        <w:rPr>
          <w:rFonts w:ascii="GHEA Grapalat" w:hAnsi="GHEA Grapalat" w:cs="Sylfaen"/>
          <w:lang w:val="hy-AM"/>
        </w:rPr>
      </w:pPr>
    </w:p>
    <w:p w:rsidR="00B3354E" w:rsidRDefault="00B3354E" w:rsidP="00B3354E">
      <w:pPr>
        <w:spacing w:after="0" w:line="360" w:lineRule="auto"/>
        <w:ind w:firstLine="562"/>
        <w:contextualSpacing/>
        <w:jc w:val="both"/>
        <w:rPr>
          <w:rFonts w:ascii="GHEA Grapalat" w:hAnsi="GHEA Grapalat"/>
          <w:b/>
          <w:lang w:val="hy-AM"/>
        </w:rPr>
      </w:pPr>
      <w:r w:rsidRPr="004C4863">
        <w:rPr>
          <w:rFonts w:ascii="GHEA Grapalat" w:hAnsi="GHEA Grapalat"/>
          <w:b/>
          <w:lang w:val="hy-AM"/>
        </w:rPr>
        <w:t>Սույ</w:t>
      </w:r>
      <w:r w:rsidRPr="00BC34B3">
        <w:rPr>
          <w:rFonts w:ascii="GHEA Grapalat" w:hAnsi="GHEA Grapalat"/>
          <w:b/>
          <w:lang w:val="hy-AM"/>
        </w:rPr>
        <w:t>ն գործով Եվրոպական դատարանն արձանագրել է, որ խախտվել է</w:t>
      </w:r>
      <w:r w:rsidRPr="00BC34B3">
        <w:rPr>
          <w:rFonts w:ascii="GHEA Grapalat" w:hAnsi="GHEA Grapalat" w:cs="Sylfaen"/>
          <w:lang w:val="hy-AM"/>
        </w:rPr>
        <w:t xml:space="preserve"> </w:t>
      </w:r>
      <w:r w:rsidRPr="00BC34B3">
        <w:rPr>
          <w:rFonts w:ascii="GHEA Grapalat" w:hAnsi="GHEA Grapalat"/>
          <w:b/>
          <w:lang w:val="hy-AM"/>
        </w:rPr>
        <w:t xml:space="preserve">Կոնվենցիայի 6-րդ հոդվածի 1-ին կետը և </w:t>
      </w:r>
      <w:r w:rsidR="00274DEC" w:rsidRPr="00274DEC">
        <w:rPr>
          <w:rFonts w:ascii="GHEA Grapalat" w:hAnsi="GHEA Grapalat"/>
          <w:b/>
          <w:lang w:val="hy-AM"/>
        </w:rPr>
        <w:t xml:space="preserve">3-րդ կետի «դ» </w:t>
      </w:r>
      <w:r w:rsidR="00274DEC">
        <w:rPr>
          <w:rFonts w:ascii="GHEA Grapalat" w:hAnsi="GHEA Grapalat"/>
          <w:b/>
          <w:lang w:val="hy-AM"/>
        </w:rPr>
        <w:t>ենթակետ</w:t>
      </w:r>
      <w:r w:rsidR="00274DEC" w:rsidRPr="00274DEC">
        <w:rPr>
          <w:rFonts w:ascii="GHEA Grapalat" w:hAnsi="GHEA Grapalat"/>
          <w:b/>
          <w:lang w:val="hy-AM"/>
        </w:rPr>
        <w:t>ը</w:t>
      </w:r>
      <w:r w:rsidRPr="00BC34B3">
        <w:rPr>
          <w:rFonts w:ascii="GHEA Grapalat" w:hAnsi="GHEA Grapalat"/>
          <w:b/>
          <w:lang w:val="hy-AM"/>
        </w:rPr>
        <w:t>:</w:t>
      </w:r>
    </w:p>
    <w:p w:rsidR="00B50A58" w:rsidRPr="00190AE2" w:rsidRDefault="00B50A58" w:rsidP="00B50A58">
      <w:pPr>
        <w:pStyle w:val="ECHRPara"/>
        <w:tabs>
          <w:tab w:val="left" w:pos="1134"/>
        </w:tabs>
        <w:spacing w:line="360" w:lineRule="auto"/>
        <w:ind w:firstLine="567"/>
        <w:rPr>
          <w:rFonts w:ascii="GHEA Grapalat" w:hAnsi="GHEA Grapalat"/>
          <w:sz w:val="22"/>
          <w:szCs w:val="24"/>
          <w:lang w:val="en-US"/>
        </w:rPr>
      </w:pPr>
      <w:r w:rsidRPr="00190AE2">
        <w:rPr>
          <w:rFonts w:ascii="GHEA Grapalat" w:hAnsi="GHEA Grapalat"/>
          <w:sz w:val="22"/>
          <w:szCs w:val="24"/>
        </w:rPr>
        <w:t xml:space="preserve">Անդրադառնալով չներկայացած վկաներ Ս.Թ.-ի </w:t>
      </w:r>
      <w:r w:rsidR="00190AE2">
        <w:rPr>
          <w:rFonts w:ascii="GHEA Grapalat" w:hAnsi="GHEA Grapalat"/>
          <w:sz w:val="22"/>
          <w:szCs w:val="24"/>
        </w:rPr>
        <w:t>և</w:t>
      </w:r>
      <w:r w:rsidRPr="00190AE2">
        <w:rPr>
          <w:rFonts w:ascii="GHEA Grapalat" w:hAnsi="GHEA Grapalat"/>
          <w:sz w:val="22"/>
          <w:szCs w:val="24"/>
        </w:rPr>
        <w:t xml:space="preserve"> Հ.Օ.-ի գրավոր ցուցմունքներին՝ </w:t>
      </w:r>
      <w:proofErr w:type="spellStart"/>
      <w:r w:rsidR="00190AE2">
        <w:rPr>
          <w:rFonts w:ascii="GHEA Grapalat" w:hAnsi="GHEA Grapalat"/>
          <w:sz w:val="22"/>
          <w:szCs w:val="24"/>
          <w:lang w:val="en-US"/>
        </w:rPr>
        <w:t>Եվրոպական</w:t>
      </w:r>
      <w:proofErr w:type="spellEnd"/>
      <w:r w:rsidR="00190AE2">
        <w:rPr>
          <w:rFonts w:ascii="GHEA Grapalat" w:hAnsi="GHEA Grapalat"/>
          <w:sz w:val="22"/>
          <w:szCs w:val="24"/>
          <w:lang w:val="en-US"/>
        </w:rPr>
        <w:t xml:space="preserve"> դ</w:t>
      </w:r>
      <w:r w:rsidRPr="00190AE2">
        <w:rPr>
          <w:rFonts w:ascii="GHEA Grapalat" w:hAnsi="GHEA Grapalat"/>
          <w:sz w:val="22"/>
          <w:szCs w:val="24"/>
        </w:rPr>
        <w:t>ատարանը բազմ</w:t>
      </w:r>
      <w:proofErr w:type="spellStart"/>
      <w:r w:rsidR="00AC62E7">
        <w:rPr>
          <w:rFonts w:ascii="GHEA Grapalat" w:hAnsi="GHEA Grapalat"/>
          <w:sz w:val="22"/>
          <w:szCs w:val="24"/>
          <w:lang w:val="en-US"/>
        </w:rPr>
        <w:t>իցս</w:t>
      </w:r>
      <w:proofErr w:type="spellEnd"/>
      <w:r w:rsidRPr="00190AE2">
        <w:rPr>
          <w:rFonts w:ascii="GHEA Grapalat" w:hAnsi="GHEA Grapalat"/>
          <w:sz w:val="22"/>
          <w:szCs w:val="24"/>
        </w:rPr>
        <w:t xml:space="preserve"> նշել է, որ արդար դատաքննության պահանջներից մեկն այն է, որ մեղադրյալին տրվի այն դատավորի ներկայությամբ վկայի՝ իր դեմ տված ցուցմունքի թույլատրելիությունը վիճարկելու կամ իր դեմ ցուցմունք տված վկային հարցաքննելու հնարավորություն, որը վերջնական որոշում է կայացնելու գործի վերաբերյալ, քանի որ դատավորի դիտարկումները տվյալ վկայի վարքագծի վերաբերյալ </w:t>
      </w:r>
      <w:r w:rsidR="00190AE2">
        <w:rPr>
          <w:rFonts w:ascii="GHEA Grapalat" w:hAnsi="GHEA Grapalat"/>
          <w:sz w:val="22"/>
          <w:szCs w:val="24"/>
        </w:rPr>
        <w:t>և</w:t>
      </w:r>
      <w:r w:rsidRPr="00190AE2">
        <w:rPr>
          <w:rFonts w:ascii="GHEA Grapalat" w:hAnsi="GHEA Grapalat"/>
          <w:sz w:val="22"/>
          <w:szCs w:val="24"/>
        </w:rPr>
        <w:t xml:space="preserve"> այն մասին, թե որքանով կարելի է վստահել նրան, կարող են հետ</w:t>
      </w:r>
      <w:r w:rsidR="00190AE2">
        <w:rPr>
          <w:rFonts w:ascii="GHEA Grapalat" w:hAnsi="GHEA Grapalat"/>
          <w:sz w:val="22"/>
          <w:szCs w:val="24"/>
        </w:rPr>
        <w:t>և</w:t>
      </w:r>
      <w:r w:rsidRPr="00190AE2">
        <w:rPr>
          <w:rFonts w:ascii="GHEA Grapalat" w:hAnsi="GHEA Grapalat"/>
          <w:sz w:val="22"/>
          <w:szCs w:val="24"/>
        </w:rPr>
        <w:t>անքներ ունենալ մեղադրյալի համար</w:t>
      </w:r>
      <w:r w:rsidRPr="00190AE2">
        <w:rPr>
          <w:rFonts w:ascii="GHEA Grapalat" w:hAnsi="GHEA Grapalat"/>
          <w:sz w:val="22"/>
          <w:szCs w:val="24"/>
          <w:lang w:val="en-US"/>
        </w:rPr>
        <w:t>:</w:t>
      </w:r>
    </w:p>
    <w:p w:rsidR="00B50A58" w:rsidRPr="00190AE2" w:rsidRDefault="00B50A58" w:rsidP="00B50A58">
      <w:pPr>
        <w:pStyle w:val="ECHRPara"/>
        <w:tabs>
          <w:tab w:val="left" w:pos="1134"/>
        </w:tabs>
        <w:spacing w:line="360" w:lineRule="auto"/>
        <w:ind w:firstLine="567"/>
        <w:rPr>
          <w:rFonts w:ascii="GHEA Grapalat" w:hAnsi="GHEA Grapalat"/>
          <w:sz w:val="22"/>
          <w:szCs w:val="24"/>
          <w:lang w:val="en-US"/>
        </w:rPr>
      </w:pPr>
      <w:r w:rsidRPr="00190AE2">
        <w:rPr>
          <w:rFonts w:ascii="GHEA Grapalat" w:hAnsi="GHEA Grapalat"/>
          <w:sz w:val="22"/>
          <w:szCs w:val="24"/>
        </w:rPr>
        <w:t xml:space="preserve">Ս.Թ.-ի </w:t>
      </w:r>
      <w:r w:rsidR="00190AE2">
        <w:rPr>
          <w:rFonts w:ascii="GHEA Grapalat" w:hAnsi="GHEA Grapalat"/>
          <w:sz w:val="22"/>
          <w:szCs w:val="24"/>
        </w:rPr>
        <w:t>և</w:t>
      </w:r>
      <w:r w:rsidRPr="00190AE2">
        <w:rPr>
          <w:rFonts w:ascii="GHEA Grapalat" w:hAnsi="GHEA Grapalat"/>
          <w:sz w:val="22"/>
          <w:szCs w:val="24"/>
        </w:rPr>
        <w:t xml:space="preserve"> Հ.Օ.-ի՝ դատական քննությանը չներկայանալու պատճառը Վրաստանի արդարադատության նախարարության կողմից նրանց փոխադրումը մերժելն էր այն պատճառով, որ այդ ժամանակ նրանց մեղադրական դատավճիռները դեռ</w:t>
      </w:r>
      <w:r w:rsidR="00190AE2">
        <w:rPr>
          <w:rFonts w:ascii="GHEA Grapalat" w:hAnsi="GHEA Grapalat"/>
          <w:sz w:val="22"/>
          <w:szCs w:val="24"/>
        </w:rPr>
        <w:t>և</w:t>
      </w:r>
      <w:r w:rsidRPr="00190AE2">
        <w:rPr>
          <w:rFonts w:ascii="GHEA Grapalat" w:hAnsi="GHEA Grapalat"/>
          <w:sz w:val="22"/>
          <w:szCs w:val="24"/>
        </w:rPr>
        <w:t xml:space="preserve">ս ենթակա էին վճռաբեկ կարգով բողոքարկման: Այդուհանդերձ, </w:t>
      </w:r>
      <w:proofErr w:type="spellStart"/>
      <w:r w:rsidR="00190AE2">
        <w:rPr>
          <w:rFonts w:ascii="GHEA Grapalat" w:hAnsi="GHEA Grapalat"/>
          <w:sz w:val="22"/>
          <w:szCs w:val="24"/>
          <w:lang w:val="en-US"/>
        </w:rPr>
        <w:t>Եվրոպական</w:t>
      </w:r>
      <w:proofErr w:type="spellEnd"/>
      <w:r w:rsidR="00190AE2">
        <w:rPr>
          <w:rFonts w:ascii="GHEA Grapalat" w:hAnsi="GHEA Grapalat"/>
          <w:sz w:val="22"/>
          <w:szCs w:val="24"/>
          <w:lang w:val="en-US"/>
        </w:rPr>
        <w:t xml:space="preserve"> դ</w:t>
      </w:r>
      <w:r w:rsidR="00190AE2">
        <w:rPr>
          <w:rFonts w:ascii="GHEA Grapalat" w:hAnsi="GHEA Grapalat"/>
          <w:sz w:val="22"/>
          <w:szCs w:val="24"/>
        </w:rPr>
        <w:t>ատարան</w:t>
      </w:r>
      <w:r w:rsidRPr="00190AE2">
        <w:rPr>
          <w:rFonts w:ascii="GHEA Grapalat" w:hAnsi="GHEA Grapalat"/>
          <w:sz w:val="22"/>
          <w:szCs w:val="24"/>
        </w:rPr>
        <w:t>ն ուշագրավ է համար</w:t>
      </w:r>
      <w:proofErr w:type="spellStart"/>
      <w:r w:rsidR="00AC62E7">
        <w:rPr>
          <w:rFonts w:ascii="GHEA Grapalat" w:hAnsi="GHEA Grapalat"/>
          <w:sz w:val="22"/>
          <w:szCs w:val="24"/>
          <w:lang w:val="en-US"/>
        </w:rPr>
        <w:t>ել</w:t>
      </w:r>
      <w:proofErr w:type="spellEnd"/>
      <w:r w:rsidRPr="00190AE2">
        <w:rPr>
          <w:rFonts w:ascii="GHEA Grapalat" w:hAnsi="GHEA Grapalat"/>
          <w:sz w:val="22"/>
          <w:szCs w:val="24"/>
        </w:rPr>
        <w:t xml:space="preserve"> այն փաստը, որ այդ տեղեկատվությունն ստանալուց հետո առաջին ատյանի </w:t>
      </w:r>
      <w:r w:rsidRPr="00190AE2">
        <w:rPr>
          <w:rFonts w:ascii="GHEA Grapalat" w:hAnsi="GHEA Grapalat"/>
          <w:sz w:val="22"/>
          <w:szCs w:val="24"/>
        </w:rPr>
        <w:lastRenderedPageBreak/>
        <w:t>դատարանը չի ձեռնարկել որ</w:t>
      </w:r>
      <w:r w:rsidR="00190AE2">
        <w:rPr>
          <w:rFonts w:ascii="GHEA Grapalat" w:hAnsi="GHEA Grapalat"/>
          <w:sz w:val="22"/>
          <w:szCs w:val="24"/>
        </w:rPr>
        <w:t>և</w:t>
      </w:r>
      <w:r w:rsidRPr="00190AE2">
        <w:rPr>
          <w:rFonts w:ascii="GHEA Grapalat" w:hAnsi="GHEA Grapalat"/>
          <w:sz w:val="22"/>
          <w:szCs w:val="24"/>
        </w:rPr>
        <w:t xml:space="preserve">է այլ փորձ, օրինակ, պարզելու համար, թե արդյոք Ս.Թ.-ի </w:t>
      </w:r>
      <w:r w:rsidR="00190AE2">
        <w:rPr>
          <w:rFonts w:ascii="GHEA Grapalat" w:hAnsi="GHEA Grapalat"/>
          <w:sz w:val="22"/>
          <w:szCs w:val="24"/>
        </w:rPr>
        <w:t>և</w:t>
      </w:r>
      <w:r w:rsidRPr="00190AE2">
        <w:rPr>
          <w:rFonts w:ascii="GHEA Grapalat" w:hAnsi="GHEA Grapalat"/>
          <w:sz w:val="22"/>
          <w:szCs w:val="24"/>
        </w:rPr>
        <w:t xml:space="preserve"> Հ.Օ.-ի մեղադրական դատավճիռները կդառնա</w:t>
      </w:r>
      <w:proofErr w:type="spellStart"/>
      <w:r w:rsidR="00AC62E7">
        <w:rPr>
          <w:rFonts w:ascii="GHEA Grapalat" w:hAnsi="GHEA Grapalat"/>
          <w:sz w:val="22"/>
          <w:szCs w:val="24"/>
          <w:lang w:val="en-US"/>
        </w:rPr>
        <w:t>յին</w:t>
      </w:r>
      <w:proofErr w:type="spellEnd"/>
      <w:r w:rsidRPr="00190AE2">
        <w:rPr>
          <w:rFonts w:ascii="GHEA Grapalat" w:hAnsi="GHEA Grapalat"/>
          <w:sz w:val="22"/>
          <w:szCs w:val="24"/>
        </w:rPr>
        <w:t xml:space="preserve"> վերջնական, </w:t>
      </w:r>
      <w:r w:rsidR="00190AE2">
        <w:rPr>
          <w:rFonts w:ascii="GHEA Grapalat" w:hAnsi="GHEA Grapalat"/>
          <w:sz w:val="22"/>
          <w:szCs w:val="24"/>
        </w:rPr>
        <w:t>և</w:t>
      </w:r>
      <w:r w:rsidRPr="00190AE2">
        <w:rPr>
          <w:rFonts w:ascii="GHEA Grapalat" w:hAnsi="GHEA Grapalat"/>
          <w:sz w:val="22"/>
          <w:szCs w:val="24"/>
        </w:rPr>
        <w:t xml:space="preserve">, եթե այո, ապա երբ </w:t>
      </w:r>
      <w:r w:rsidR="00190AE2">
        <w:rPr>
          <w:rFonts w:ascii="GHEA Grapalat" w:hAnsi="GHEA Grapalat"/>
          <w:sz w:val="22"/>
          <w:szCs w:val="24"/>
        </w:rPr>
        <w:t>և</w:t>
      </w:r>
      <w:r w:rsidRPr="00190AE2">
        <w:rPr>
          <w:rFonts w:ascii="GHEA Grapalat" w:hAnsi="GHEA Grapalat"/>
          <w:sz w:val="22"/>
          <w:szCs w:val="24"/>
        </w:rPr>
        <w:t xml:space="preserve"> արդյոք նրանք կարող </w:t>
      </w:r>
      <w:proofErr w:type="spellStart"/>
      <w:r w:rsidR="00AC62E7">
        <w:rPr>
          <w:rFonts w:ascii="GHEA Grapalat" w:hAnsi="GHEA Grapalat"/>
          <w:sz w:val="22"/>
          <w:szCs w:val="24"/>
          <w:lang w:val="en-US"/>
        </w:rPr>
        <w:t>էին</w:t>
      </w:r>
      <w:proofErr w:type="spellEnd"/>
      <w:r w:rsidR="00F50655">
        <w:rPr>
          <w:rFonts w:ascii="GHEA Grapalat" w:hAnsi="GHEA Grapalat"/>
          <w:sz w:val="22"/>
          <w:szCs w:val="24"/>
          <w:lang w:val="en-US"/>
        </w:rPr>
        <w:t xml:space="preserve"> </w:t>
      </w:r>
      <w:proofErr w:type="spellStart"/>
      <w:r w:rsidR="00F50655">
        <w:rPr>
          <w:rFonts w:ascii="GHEA Grapalat" w:hAnsi="GHEA Grapalat"/>
          <w:sz w:val="22"/>
          <w:szCs w:val="24"/>
          <w:lang w:val="en-US"/>
        </w:rPr>
        <w:t>հետագայում</w:t>
      </w:r>
      <w:proofErr w:type="spellEnd"/>
      <w:r w:rsidR="00AC62E7">
        <w:rPr>
          <w:rFonts w:ascii="GHEA Grapalat" w:hAnsi="GHEA Grapalat"/>
          <w:sz w:val="22"/>
          <w:szCs w:val="24"/>
          <w:lang w:val="en-US"/>
        </w:rPr>
        <w:t xml:space="preserve"> </w:t>
      </w:r>
      <w:r w:rsidRPr="00190AE2">
        <w:rPr>
          <w:rFonts w:ascii="GHEA Grapalat" w:hAnsi="GHEA Grapalat"/>
          <w:sz w:val="22"/>
          <w:szCs w:val="24"/>
        </w:rPr>
        <w:t>փոխադրվել Հայաստան՝ դատական քննության համար: Ըստ եր</w:t>
      </w:r>
      <w:r w:rsidR="00190AE2">
        <w:rPr>
          <w:rFonts w:ascii="GHEA Grapalat" w:hAnsi="GHEA Grapalat"/>
          <w:sz w:val="22"/>
          <w:szCs w:val="24"/>
        </w:rPr>
        <w:t>և</w:t>
      </w:r>
      <w:r w:rsidRPr="00190AE2">
        <w:rPr>
          <w:rFonts w:ascii="GHEA Grapalat" w:hAnsi="GHEA Grapalat"/>
          <w:sz w:val="22"/>
          <w:szCs w:val="24"/>
        </w:rPr>
        <w:t>ույթին, նա</w:t>
      </w:r>
      <w:r w:rsidR="00190AE2">
        <w:rPr>
          <w:rFonts w:ascii="GHEA Grapalat" w:hAnsi="GHEA Grapalat"/>
          <w:sz w:val="22"/>
          <w:szCs w:val="24"/>
        </w:rPr>
        <w:t>և</w:t>
      </w:r>
      <w:r w:rsidRPr="00190AE2">
        <w:rPr>
          <w:rFonts w:ascii="GHEA Grapalat" w:hAnsi="GHEA Grapalat"/>
          <w:sz w:val="22"/>
          <w:szCs w:val="24"/>
        </w:rPr>
        <w:t xml:space="preserve"> չեն դիտարկվել դիմումատուին՝ վկաներին հարցաքննելու հնարավորություն տալու այլ միջոցներ</w:t>
      </w:r>
      <w:r w:rsidRPr="00190AE2">
        <w:rPr>
          <w:rFonts w:ascii="GHEA Grapalat" w:hAnsi="GHEA Grapalat"/>
          <w:sz w:val="22"/>
          <w:szCs w:val="24"/>
          <w:lang w:val="en-US"/>
        </w:rPr>
        <w:t>:</w:t>
      </w:r>
      <w:r w:rsidRPr="00190AE2">
        <w:rPr>
          <w:rFonts w:ascii="GHEA Grapalat" w:hAnsi="GHEA Grapalat"/>
          <w:sz w:val="22"/>
          <w:szCs w:val="24"/>
        </w:rPr>
        <w:t xml:space="preserve"> </w:t>
      </w:r>
    </w:p>
    <w:p w:rsidR="00B50A58" w:rsidRPr="00190AE2" w:rsidRDefault="00F50655" w:rsidP="00B50A58">
      <w:pPr>
        <w:pStyle w:val="ECHRPara"/>
        <w:tabs>
          <w:tab w:val="left" w:pos="1134"/>
        </w:tabs>
        <w:spacing w:line="360" w:lineRule="auto"/>
        <w:ind w:firstLine="567"/>
        <w:rPr>
          <w:rFonts w:ascii="GHEA Grapalat" w:hAnsi="GHEA Grapalat"/>
          <w:sz w:val="22"/>
          <w:szCs w:val="24"/>
          <w:lang w:val="en-US"/>
        </w:rPr>
      </w:pPr>
      <w:proofErr w:type="spellStart"/>
      <w:r>
        <w:rPr>
          <w:rFonts w:ascii="GHEA Grapalat" w:hAnsi="GHEA Grapalat"/>
          <w:sz w:val="22"/>
          <w:szCs w:val="24"/>
          <w:lang w:val="en-US"/>
        </w:rPr>
        <w:t>Ավելին</w:t>
      </w:r>
      <w:proofErr w:type="spellEnd"/>
      <w:r>
        <w:rPr>
          <w:rFonts w:ascii="GHEA Grapalat" w:hAnsi="GHEA Grapalat"/>
          <w:sz w:val="22"/>
          <w:szCs w:val="24"/>
          <w:lang w:val="en-US"/>
        </w:rPr>
        <w:t xml:space="preserve">, </w:t>
      </w:r>
      <w:proofErr w:type="spellStart"/>
      <w:r w:rsidR="00190AE2">
        <w:rPr>
          <w:rFonts w:ascii="GHEA Grapalat" w:hAnsi="GHEA Grapalat"/>
          <w:sz w:val="22"/>
          <w:szCs w:val="24"/>
          <w:lang w:val="en-US"/>
        </w:rPr>
        <w:t>Եվրոպական</w:t>
      </w:r>
      <w:proofErr w:type="spellEnd"/>
      <w:r w:rsidR="00190AE2">
        <w:rPr>
          <w:rFonts w:ascii="GHEA Grapalat" w:hAnsi="GHEA Grapalat"/>
          <w:sz w:val="22"/>
          <w:szCs w:val="24"/>
          <w:lang w:val="en-US"/>
        </w:rPr>
        <w:t xml:space="preserve"> դ</w:t>
      </w:r>
      <w:r w:rsidR="00190AE2">
        <w:rPr>
          <w:rFonts w:ascii="GHEA Grapalat" w:hAnsi="GHEA Grapalat"/>
          <w:sz w:val="22"/>
          <w:szCs w:val="24"/>
        </w:rPr>
        <w:t>ատարան</w:t>
      </w:r>
      <w:r>
        <w:rPr>
          <w:rFonts w:ascii="GHEA Grapalat" w:hAnsi="GHEA Grapalat"/>
          <w:sz w:val="22"/>
          <w:szCs w:val="24"/>
          <w:lang w:val="en-US"/>
        </w:rPr>
        <w:t>ը</w:t>
      </w:r>
      <w:r w:rsidR="00B50A58" w:rsidRPr="00190AE2">
        <w:rPr>
          <w:rFonts w:ascii="GHEA Grapalat" w:hAnsi="GHEA Grapalat"/>
          <w:sz w:val="22"/>
          <w:szCs w:val="24"/>
        </w:rPr>
        <w:t xml:space="preserve"> </w:t>
      </w:r>
      <w:r w:rsidR="00190AE2">
        <w:rPr>
          <w:rFonts w:ascii="GHEA Grapalat" w:hAnsi="GHEA Grapalat"/>
          <w:sz w:val="22"/>
          <w:szCs w:val="24"/>
        </w:rPr>
        <w:t>նշ</w:t>
      </w:r>
      <w:proofErr w:type="spellStart"/>
      <w:r w:rsidR="00190AE2">
        <w:rPr>
          <w:rFonts w:ascii="GHEA Grapalat" w:hAnsi="GHEA Grapalat"/>
          <w:sz w:val="22"/>
          <w:szCs w:val="24"/>
          <w:lang w:val="en-US"/>
        </w:rPr>
        <w:t>ել</w:t>
      </w:r>
      <w:proofErr w:type="spellEnd"/>
      <w:r w:rsidR="00B50A58" w:rsidRPr="00190AE2">
        <w:rPr>
          <w:rFonts w:ascii="GHEA Grapalat" w:hAnsi="GHEA Grapalat"/>
          <w:sz w:val="22"/>
          <w:szCs w:val="24"/>
        </w:rPr>
        <w:t xml:space="preserve"> է, որ </w:t>
      </w:r>
      <w:proofErr w:type="spellStart"/>
      <w:r w:rsidR="006A2BCA">
        <w:rPr>
          <w:rFonts w:ascii="GHEA Grapalat" w:hAnsi="GHEA Grapalat"/>
          <w:sz w:val="22"/>
          <w:szCs w:val="24"/>
          <w:lang w:val="en-US"/>
        </w:rPr>
        <w:t>չնայած</w:t>
      </w:r>
      <w:proofErr w:type="spellEnd"/>
      <w:r w:rsidR="006A2BCA">
        <w:rPr>
          <w:rFonts w:ascii="GHEA Grapalat" w:hAnsi="GHEA Grapalat"/>
          <w:sz w:val="22"/>
          <w:szCs w:val="24"/>
          <w:lang w:val="en-US"/>
        </w:rPr>
        <w:t xml:space="preserve"> </w:t>
      </w:r>
      <w:r w:rsidR="00B50A58" w:rsidRPr="00190AE2">
        <w:rPr>
          <w:rFonts w:ascii="GHEA Grapalat" w:hAnsi="GHEA Grapalat"/>
          <w:sz w:val="22"/>
          <w:szCs w:val="24"/>
        </w:rPr>
        <w:t xml:space="preserve">Մարզային դատարանի վճիռը, որը Վերաքննիչ քրեական դատարանը հետագայում լիովին անփոփոխ է թողել, բացի Ս.Թ.-ի </w:t>
      </w:r>
      <w:r w:rsidR="00190AE2">
        <w:rPr>
          <w:rFonts w:ascii="GHEA Grapalat" w:hAnsi="GHEA Grapalat"/>
          <w:sz w:val="22"/>
          <w:szCs w:val="24"/>
        </w:rPr>
        <w:t>և</w:t>
      </w:r>
      <w:r w:rsidR="00B50A58" w:rsidRPr="00190AE2">
        <w:rPr>
          <w:rFonts w:ascii="GHEA Grapalat" w:hAnsi="GHEA Grapalat"/>
          <w:sz w:val="22"/>
          <w:szCs w:val="24"/>
        </w:rPr>
        <w:t xml:space="preserve"> Հ.Օ.-ի ցուցմունքներից նա</w:t>
      </w:r>
      <w:r w:rsidR="00190AE2">
        <w:rPr>
          <w:rFonts w:ascii="GHEA Grapalat" w:hAnsi="GHEA Grapalat"/>
          <w:sz w:val="22"/>
          <w:szCs w:val="24"/>
        </w:rPr>
        <w:t>և</w:t>
      </w:r>
      <w:r w:rsidR="00B50A58" w:rsidRPr="00190AE2">
        <w:rPr>
          <w:rFonts w:ascii="GHEA Grapalat" w:hAnsi="GHEA Grapalat"/>
          <w:sz w:val="22"/>
          <w:szCs w:val="24"/>
        </w:rPr>
        <w:t xml:space="preserve"> հղում է կատարել այլ ապացույցների</w:t>
      </w:r>
      <w:r w:rsidR="006A2BCA">
        <w:rPr>
          <w:rFonts w:ascii="GHEA Grapalat" w:hAnsi="GHEA Grapalat"/>
          <w:sz w:val="22"/>
          <w:szCs w:val="24"/>
          <w:lang w:val="en-US"/>
        </w:rPr>
        <w:t xml:space="preserve">, </w:t>
      </w:r>
      <w:proofErr w:type="spellStart"/>
      <w:r w:rsidR="006A2BCA">
        <w:rPr>
          <w:rFonts w:ascii="GHEA Grapalat" w:hAnsi="GHEA Grapalat"/>
          <w:sz w:val="22"/>
          <w:szCs w:val="24"/>
          <w:lang w:val="en-US"/>
        </w:rPr>
        <w:t>այդուհանդերձ</w:t>
      </w:r>
      <w:proofErr w:type="spellEnd"/>
      <w:r w:rsidR="006A2BCA">
        <w:rPr>
          <w:rFonts w:ascii="GHEA Grapalat" w:hAnsi="GHEA Grapalat"/>
          <w:sz w:val="22"/>
          <w:szCs w:val="24"/>
          <w:lang w:val="en-US"/>
        </w:rPr>
        <w:t xml:space="preserve">, </w:t>
      </w:r>
      <w:r w:rsidR="00B50A58" w:rsidRPr="00190AE2">
        <w:rPr>
          <w:rFonts w:ascii="GHEA Grapalat" w:hAnsi="GHEA Grapalat"/>
          <w:sz w:val="22"/>
          <w:szCs w:val="24"/>
        </w:rPr>
        <w:t xml:space="preserve">Ս.Թ.-ի </w:t>
      </w:r>
      <w:r w:rsidR="00190AE2">
        <w:rPr>
          <w:rFonts w:ascii="GHEA Grapalat" w:hAnsi="GHEA Grapalat"/>
          <w:sz w:val="22"/>
          <w:szCs w:val="24"/>
        </w:rPr>
        <w:t>և</w:t>
      </w:r>
      <w:r w:rsidR="00B50A58" w:rsidRPr="00190AE2">
        <w:rPr>
          <w:rFonts w:ascii="GHEA Grapalat" w:hAnsi="GHEA Grapalat"/>
          <w:sz w:val="22"/>
          <w:szCs w:val="24"/>
        </w:rPr>
        <w:t xml:space="preserve"> Հ.Օ.-ի ցուցմունքները </w:t>
      </w:r>
      <w:proofErr w:type="spellStart"/>
      <w:r w:rsidR="006A2BCA">
        <w:rPr>
          <w:rFonts w:ascii="GHEA Grapalat" w:hAnsi="GHEA Grapalat"/>
          <w:sz w:val="22"/>
          <w:szCs w:val="24"/>
          <w:lang w:val="en-US"/>
        </w:rPr>
        <w:t>հիմնարար</w:t>
      </w:r>
      <w:proofErr w:type="spellEnd"/>
      <w:r w:rsidR="006A2BCA">
        <w:rPr>
          <w:rFonts w:ascii="GHEA Grapalat" w:hAnsi="GHEA Grapalat"/>
          <w:sz w:val="22"/>
          <w:szCs w:val="24"/>
          <w:lang w:val="en-US"/>
        </w:rPr>
        <w:t xml:space="preserve"> </w:t>
      </w:r>
      <w:proofErr w:type="spellStart"/>
      <w:r w:rsidR="006A2BCA">
        <w:rPr>
          <w:rFonts w:ascii="GHEA Grapalat" w:hAnsi="GHEA Grapalat"/>
          <w:sz w:val="22"/>
          <w:szCs w:val="24"/>
          <w:lang w:val="en-US"/>
        </w:rPr>
        <w:t>նշանակություն</w:t>
      </w:r>
      <w:proofErr w:type="spellEnd"/>
      <w:r w:rsidR="006A2BCA">
        <w:rPr>
          <w:rFonts w:ascii="GHEA Grapalat" w:hAnsi="GHEA Grapalat"/>
          <w:sz w:val="22"/>
          <w:szCs w:val="24"/>
          <w:lang w:val="en-US"/>
        </w:rPr>
        <w:t xml:space="preserve"> </w:t>
      </w:r>
      <w:proofErr w:type="spellStart"/>
      <w:r w:rsidR="006A2BCA">
        <w:rPr>
          <w:rFonts w:ascii="GHEA Grapalat" w:hAnsi="GHEA Grapalat"/>
          <w:sz w:val="22"/>
          <w:szCs w:val="24"/>
          <w:lang w:val="en-US"/>
        </w:rPr>
        <w:t>ունեին</w:t>
      </w:r>
      <w:proofErr w:type="spellEnd"/>
      <w:r w:rsidR="006A2BCA">
        <w:rPr>
          <w:rFonts w:ascii="GHEA Grapalat" w:hAnsi="GHEA Grapalat"/>
          <w:sz w:val="22"/>
          <w:szCs w:val="24"/>
          <w:lang w:val="en-US"/>
        </w:rPr>
        <w:t xml:space="preserve"> </w:t>
      </w:r>
      <w:proofErr w:type="spellStart"/>
      <w:r w:rsidR="006A2BCA">
        <w:rPr>
          <w:rFonts w:ascii="GHEA Grapalat" w:hAnsi="GHEA Grapalat"/>
          <w:sz w:val="22"/>
          <w:szCs w:val="24"/>
          <w:lang w:val="en-US"/>
        </w:rPr>
        <w:t>գործի</w:t>
      </w:r>
      <w:proofErr w:type="spellEnd"/>
      <w:r w:rsidR="006A2BCA">
        <w:rPr>
          <w:rFonts w:ascii="GHEA Grapalat" w:hAnsi="GHEA Grapalat"/>
          <w:sz w:val="22"/>
          <w:szCs w:val="24"/>
          <w:lang w:val="en-US"/>
        </w:rPr>
        <w:t xml:space="preserve"> </w:t>
      </w:r>
      <w:proofErr w:type="spellStart"/>
      <w:r w:rsidR="006A2BCA">
        <w:rPr>
          <w:rFonts w:ascii="GHEA Grapalat" w:hAnsi="GHEA Grapalat"/>
          <w:sz w:val="22"/>
          <w:szCs w:val="24"/>
          <w:lang w:val="en-US"/>
        </w:rPr>
        <w:t>համար</w:t>
      </w:r>
      <w:proofErr w:type="spellEnd"/>
      <w:r w:rsidR="00B50A58" w:rsidRPr="00190AE2">
        <w:rPr>
          <w:rFonts w:ascii="GHEA Grapalat" w:hAnsi="GHEA Grapalat"/>
          <w:sz w:val="22"/>
          <w:szCs w:val="24"/>
        </w:rPr>
        <w:t>: Չնայած այս ցուցմունք</w:t>
      </w:r>
      <w:proofErr w:type="spellStart"/>
      <w:r w:rsidR="006A2BCA">
        <w:rPr>
          <w:rFonts w:ascii="GHEA Grapalat" w:hAnsi="GHEA Grapalat"/>
          <w:sz w:val="22"/>
          <w:szCs w:val="24"/>
          <w:lang w:val="en-US"/>
        </w:rPr>
        <w:t>ներ</w:t>
      </w:r>
      <w:proofErr w:type="spellEnd"/>
      <w:r w:rsidR="00B50A58" w:rsidRPr="00190AE2">
        <w:rPr>
          <w:rFonts w:ascii="GHEA Grapalat" w:hAnsi="GHEA Grapalat"/>
          <w:sz w:val="22"/>
          <w:szCs w:val="24"/>
        </w:rPr>
        <w:t>ը գործի միակ ապացույցը չէ</w:t>
      </w:r>
      <w:proofErr w:type="spellStart"/>
      <w:r w:rsidR="006A2BCA">
        <w:rPr>
          <w:rFonts w:ascii="GHEA Grapalat" w:hAnsi="GHEA Grapalat"/>
          <w:sz w:val="22"/>
          <w:szCs w:val="24"/>
          <w:lang w:val="en-US"/>
        </w:rPr>
        <w:t>ին</w:t>
      </w:r>
      <w:proofErr w:type="spellEnd"/>
      <w:r w:rsidR="00B50A58" w:rsidRPr="00190AE2">
        <w:rPr>
          <w:rFonts w:ascii="GHEA Grapalat" w:hAnsi="GHEA Grapalat"/>
          <w:sz w:val="22"/>
          <w:szCs w:val="24"/>
        </w:rPr>
        <w:t>, սակայն միակն է</w:t>
      </w:r>
      <w:proofErr w:type="spellStart"/>
      <w:r w:rsidR="006A2BCA">
        <w:rPr>
          <w:rFonts w:ascii="GHEA Grapalat" w:hAnsi="GHEA Grapalat"/>
          <w:sz w:val="22"/>
          <w:szCs w:val="24"/>
          <w:lang w:val="en-US"/>
        </w:rPr>
        <w:t>ին</w:t>
      </w:r>
      <w:proofErr w:type="spellEnd"/>
      <w:r w:rsidR="00B50A58" w:rsidRPr="00190AE2">
        <w:rPr>
          <w:rFonts w:ascii="GHEA Grapalat" w:hAnsi="GHEA Grapalat"/>
          <w:sz w:val="22"/>
          <w:szCs w:val="24"/>
        </w:rPr>
        <w:t xml:space="preserve"> կամ առնվազն վճռորոշ այնքանով, որքանով վերաբերում է</w:t>
      </w:r>
      <w:proofErr w:type="spellStart"/>
      <w:r w:rsidR="006A2BCA">
        <w:rPr>
          <w:rFonts w:ascii="GHEA Grapalat" w:hAnsi="GHEA Grapalat"/>
          <w:sz w:val="22"/>
          <w:szCs w:val="24"/>
          <w:lang w:val="en-US"/>
        </w:rPr>
        <w:t>ին</w:t>
      </w:r>
      <w:proofErr w:type="spellEnd"/>
      <w:r w:rsidR="00B50A58" w:rsidRPr="00190AE2">
        <w:rPr>
          <w:rFonts w:ascii="GHEA Grapalat" w:hAnsi="GHEA Grapalat"/>
          <w:sz w:val="22"/>
          <w:szCs w:val="24"/>
        </w:rPr>
        <w:t xml:space="preserve"> դիմումատուի ներգրավվածությանը: Նման հանգամանքներում Մարզային դատարանի կողմից Ս.Թ.-ի</w:t>
      </w:r>
      <w:r w:rsidR="006A2BCA">
        <w:rPr>
          <w:rFonts w:ascii="GHEA Grapalat" w:hAnsi="GHEA Grapalat"/>
          <w:sz w:val="22"/>
          <w:szCs w:val="24"/>
          <w:lang w:val="en-US"/>
        </w:rPr>
        <w:t>ն</w:t>
      </w:r>
      <w:r w:rsidR="00B50A58" w:rsidRPr="00190AE2">
        <w:rPr>
          <w:rFonts w:ascii="GHEA Grapalat" w:hAnsi="GHEA Grapalat"/>
          <w:sz w:val="22"/>
          <w:szCs w:val="24"/>
        </w:rPr>
        <w:t xml:space="preserve"> </w:t>
      </w:r>
      <w:r w:rsidR="00190AE2">
        <w:rPr>
          <w:rFonts w:ascii="GHEA Grapalat" w:hAnsi="GHEA Grapalat"/>
          <w:sz w:val="22"/>
          <w:szCs w:val="24"/>
        </w:rPr>
        <w:t>և</w:t>
      </w:r>
      <w:r w:rsidR="00B50A58" w:rsidRPr="00190AE2">
        <w:rPr>
          <w:rFonts w:ascii="GHEA Grapalat" w:hAnsi="GHEA Grapalat"/>
          <w:sz w:val="22"/>
          <w:szCs w:val="24"/>
        </w:rPr>
        <w:t xml:space="preserve"> Հ.Օ.-ին, որոն</w:t>
      </w:r>
      <w:r w:rsidR="006A2BCA">
        <w:rPr>
          <w:rFonts w:ascii="GHEA Grapalat" w:hAnsi="GHEA Grapalat"/>
          <w:sz w:val="22"/>
          <w:szCs w:val="24"/>
          <w:lang w:val="en-US"/>
        </w:rPr>
        <w:t>ց</w:t>
      </w:r>
      <w:r w:rsidR="00B50A58" w:rsidRPr="00190AE2">
        <w:rPr>
          <w:rFonts w:ascii="GHEA Grapalat" w:hAnsi="GHEA Grapalat"/>
          <w:sz w:val="22"/>
          <w:szCs w:val="24"/>
        </w:rPr>
        <w:t xml:space="preserve"> ցուցմունքները հետագայում օգտագործվել են դիմումատուի դեմ, անձամբ չլսելը կարող էր էականորեն ազդել դիմումատուի պաշտպանության իրավունքների վրա: </w:t>
      </w:r>
    </w:p>
    <w:p w:rsidR="00E44054" w:rsidRPr="00190AE2" w:rsidRDefault="00190AE2" w:rsidP="00190AE2">
      <w:pPr>
        <w:pStyle w:val="ECHRPara"/>
        <w:tabs>
          <w:tab w:val="left" w:pos="1134"/>
        </w:tabs>
        <w:spacing w:line="360" w:lineRule="auto"/>
        <w:ind w:firstLine="567"/>
        <w:rPr>
          <w:rFonts w:ascii="GHEA Grapalat" w:hAnsi="GHEA Grapalat"/>
          <w:sz w:val="22"/>
          <w:szCs w:val="24"/>
          <w:lang w:val="en-US"/>
        </w:rPr>
      </w:pPr>
      <w:proofErr w:type="spellStart"/>
      <w:r w:rsidRPr="00190AE2">
        <w:rPr>
          <w:rFonts w:ascii="GHEA Grapalat" w:hAnsi="GHEA Grapalat"/>
          <w:sz w:val="22"/>
          <w:szCs w:val="24"/>
          <w:lang w:val="en-US"/>
        </w:rPr>
        <w:t>Հետևաբար</w:t>
      </w:r>
      <w:proofErr w:type="spellEnd"/>
      <w:r w:rsidRPr="00190AE2">
        <w:rPr>
          <w:rFonts w:ascii="GHEA Grapalat" w:hAnsi="GHEA Grapalat"/>
          <w:sz w:val="22"/>
          <w:szCs w:val="24"/>
          <w:lang w:val="en-US"/>
        </w:rPr>
        <w:t xml:space="preserve">, </w:t>
      </w:r>
      <w:r w:rsidR="00B50A58" w:rsidRPr="00190AE2">
        <w:rPr>
          <w:rFonts w:ascii="GHEA Grapalat" w:hAnsi="GHEA Grapalat"/>
          <w:sz w:val="22"/>
          <w:szCs w:val="24"/>
        </w:rPr>
        <w:t xml:space="preserve">տեղի է ունեցել Կոնվենցիայի 6-րդ հոդվածի 1-ին կետի </w:t>
      </w:r>
      <w:r>
        <w:rPr>
          <w:rFonts w:ascii="GHEA Grapalat" w:hAnsi="GHEA Grapalat"/>
          <w:sz w:val="22"/>
          <w:szCs w:val="24"/>
        </w:rPr>
        <w:t>և</w:t>
      </w:r>
      <w:r w:rsidR="00B50A58" w:rsidRPr="00190AE2">
        <w:rPr>
          <w:rFonts w:ascii="GHEA Grapalat" w:hAnsi="GHEA Grapalat"/>
          <w:sz w:val="22"/>
          <w:szCs w:val="24"/>
        </w:rPr>
        <w:t xml:space="preserve"> 3-րդ կետի «դ» ենթակետի խախտում։</w:t>
      </w:r>
    </w:p>
    <w:p w:rsidR="00136CFC" w:rsidRPr="006159FD" w:rsidRDefault="00136CFC" w:rsidP="00F50655">
      <w:pPr>
        <w:spacing w:after="0" w:line="360" w:lineRule="auto"/>
        <w:ind w:firstLine="634"/>
        <w:contextualSpacing/>
        <w:jc w:val="both"/>
        <w:rPr>
          <w:rFonts w:ascii="GHEA Grapalat" w:hAnsi="GHEA Grapalat"/>
          <w:b/>
          <w:lang w:val="hy-AM"/>
        </w:rPr>
      </w:pPr>
    </w:p>
    <w:p w:rsidR="00B3354E" w:rsidRPr="00BC34B3" w:rsidRDefault="00B3354E" w:rsidP="00F50655">
      <w:pPr>
        <w:spacing w:after="0" w:line="360" w:lineRule="auto"/>
        <w:ind w:firstLine="634"/>
        <w:contextualSpacing/>
        <w:jc w:val="both"/>
        <w:rPr>
          <w:rFonts w:ascii="GHEA Grapalat" w:hAnsi="GHEA Grapalat"/>
          <w:b/>
          <w:lang w:val="hy-AM"/>
        </w:rPr>
      </w:pPr>
      <w:r w:rsidRPr="00BC34B3">
        <w:rPr>
          <w:rFonts w:ascii="GHEA Grapalat" w:hAnsi="GHEA Grapalat"/>
          <w:b/>
          <w:lang w:val="hy-AM"/>
        </w:rPr>
        <w:t>Արդարացի փոխհատուցում</w:t>
      </w:r>
    </w:p>
    <w:p w:rsidR="00B3354E" w:rsidRPr="00BC34B3" w:rsidRDefault="00B3354E" w:rsidP="00B3354E">
      <w:pPr>
        <w:spacing w:after="0" w:line="360" w:lineRule="auto"/>
        <w:ind w:firstLine="634"/>
        <w:contextualSpacing/>
        <w:jc w:val="both"/>
        <w:rPr>
          <w:rFonts w:ascii="GHEA Grapalat" w:hAnsi="GHEA Grapalat"/>
          <w:b/>
          <w:lang w:val="hy-AM"/>
        </w:rPr>
      </w:pPr>
      <w:r w:rsidRPr="00BC34B3">
        <w:rPr>
          <w:rFonts w:ascii="GHEA Grapalat" w:hAnsi="GHEA Grapalat"/>
          <w:b/>
          <w:lang w:val="hy-AM"/>
        </w:rPr>
        <w:t>Գործի քննության արդյունքում Եվրոպական դատարանը վճռել է դիմումատուին շնորհել</w:t>
      </w:r>
      <w:r w:rsidR="005E2159">
        <w:rPr>
          <w:rFonts w:ascii="GHEA Grapalat" w:hAnsi="GHEA Grapalat"/>
          <w:b/>
          <w:lang w:val="hy-AM"/>
        </w:rPr>
        <w:t xml:space="preserve"> </w:t>
      </w:r>
      <w:r w:rsidR="00190AE2">
        <w:rPr>
          <w:rFonts w:ascii="GHEA Grapalat" w:hAnsi="GHEA Grapalat"/>
          <w:b/>
          <w:lang w:val="hy-AM"/>
        </w:rPr>
        <w:t>2</w:t>
      </w:r>
      <w:r w:rsidR="00190AE2">
        <w:rPr>
          <w:rFonts w:ascii="GHEA Grapalat" w:hAnsi="GHEA Grapalat"/>
          <w:b/>
        </w:rPr>
        <w:t xml:space="preserve"> </w:t>
      </w:r>
      <w:r w:rsidR="005E2159" w:rsidRPr="005E2159">
        <w:rPr>
          <w:rFonts w:ascii="GHEA Grapalat" w:hAnsi="GHEA Grapalat"/>
          <w:b/>
          <w:lang w:val="hy-AM"/>
        </w:rPr>
        <w:t>400 եվրո</w:t>
      </w:r>
      <w:r w:rsidRPr="00BC34B3">
        <w:rPr>
          <w:rFonts w:ascii="GHEA Grapalat" w:hAnsi="GHEA Grapalat"/>
          <w:b/>
          <w:lang w:val="hy-AM"/>
        </w:rPr>
        <w:t xml:space="preserve"> ոչ նյութական վնասի</w:t>
      </w:r>
      <w:r w:rsidR="005E2159" w:rsidRPr="005E2159">
        <w:rPr>
          <w:rFonts w:ascii="GHEA Grapalat" w:hAnsi="GHEA Grapalat"/>
          <w:b/>
          <w:lang w:val="hy-AM"/>
        </w:rPr>
        <w:t xml:space="preserve"> և</w:t>
      </w:r>
      <w:r w:rsidR="00190AE2">
        <w:rPr>
          <w:rFonts w:ascii="GHEA Grapalat" w:hAnsi="GHEA Grapalat"/>
          <w:b/>
          <w:lang w:val="hy-AM"/>
        </w:rPr>
        <w:t xml:space="preserve"> 1</w:t>
      </w:r>
      <w:r w:rsidR="00190AE2">
        <w:rPr>
          <w:rFonts w:ascii="GHEA Grapalat" w:hAnsi="GHEA Grapalat"/>
          <w:b/>
        </w:rPr>
        <w:t xml:space="preserve"> 0</w:t>
      </w:r>
      <w:r w:rsidR="005E2159" w:rsidRPr="005E2159">
        <w:rPr>
          <w:rFonts w:ascii="GHEA Grapalat" w:hAnsi="GHEA Grapalat"/>
          <w:b/>
          <w:lang w:val="hy-AM"/>
        </w:rPr>
        <w:t xml:space="preserve">00 եվրո ծախսերի </w:t>
      </w:r>
      <w:r w:rsidR="004C4863">
        <w:rPr>
          <w:rFonts w:ascii="GHEA Grapalat" w:hAnsi="GHEA Grapalat"/>
          <w:b/>
          <w:lang w:val="hy-AM"/>
        </w:rPr>
        <w:t>և</w:t>
      </w:r>
      <w:r w:rsidR="005E2159" w:rsidRPr="005E2159">
        <w:rPr>
          <w:rFonts w:ascii="GHEA Grapalat" w:hAnsi="GHEA Grapalat"/>
          <w:b/>
          <w:lang w:val="hy-AM"/>
        </w:rPr>
        <w:t xml:space="preserve"> ծախքերի </w:t>
      </w:r>
      <w:r w:rsidR="005E2159">
        <w:rPr>
          <w:rFonts w:ascii="GHEA Grapalat" w:hAnsi="GHEA Grapalat"/>
          <w:b/>
          <w:lang w:val="hy-AM"/>
        </w:rPr>
        <w:t>դիմա</w:t>
      </w:r>
      <w:r w:rsidR="005E2159" w:rsidRPr="005E2159">
        <w:rPr>
          <w:rFonts w:ascii="GHEA Grapalat" w:hAnsi="GHEA Grapalat"/>
          <w:b/>
          <w:lang w:val="hy-AM"/>
        </w:rPr>
        <w:t>ց</w:t>
      </w:r>
      <w:r w:rsidRPr="00BC34B3">
        <w:rPr>
          <w:rFonts w:ascii="GHEA Grapalat" w:hAnsi="GHEA Grapalat"/>
          <w:b/>
          <w:lang w:val="hy-AM"/>
        </w:rPr>
        <w:t>:</w:t>
      </w:r>
    </w:p>
    <w:sectPr w:rsidR="00B3354E" w:rsidRPr="00BC34B3" w:rsidSect="003E3D5C">
      <w:pgSz w:w="12240" w:h="15840"/>
      <w:pgMar w:top="90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F03" w:rsidRDefault="00CC7F03" w:rsidP="00024981">
      <w:pPr>
        <w:spacing w:after="0" w:line="240" w:lineRule="auto"/>
      </w:pPr>
      <w:r>
        <w:separator/>
      </w:r>
    </w:p>
  </w:endnote>
  <w:endnote w:type="continuationSeparator" w:id="0">
    <w:p w:rsidR="00CC7F03" w:rsidRDefault="00CC7F03" w:rsidP="000249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F03" w:rsidRDefault="00CC7F03" w:rsidP="00024981">
      <w:pPr>
        <w:spacing w:after="0" w:line="240" w:lineRule="auto"/>
      </w:pPr>
      <w:r>
        <w:separator/>
      </w:r>
    </w:p>
  </w:footnote>
  <w:footnote w:type="continuationSeparator" w:id="0">
    <w:p w:rsidR="00CC7F03" w:rsidRDefault="00CC7F03" w:rsidP="000249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457F7"/>
    <w:multiLevelType w:val="hybridMultilevel"/>
    <w:tmpl w:val="E63C270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B3354E"/>
    <w:rsid w:val="00007A79"/>
    <w:rsid w:val="00013C2C"/>
    <w:rsid w:val="00024981"/>
    <w:rsid w:val="000335C2"/>
    <w:rsid w:val="00091130"/>
    <w:rsid w:val="000955A8"/>
    <w:rsid w:val="000A1C84"/>
    <w:rsid w:val="000D39B7"/>
    <w:rsid w:val="00100B49"/>
    <w:rsid w:val="00136CFC"/>
    <w:rsid w:val="00190AE2"/>
    <w:rsid w:val="001921D4"/>
    <w:rsid w:val="001E1DA7"/>
    <w:rsid w:val="001F3F44"/>
    <w:rsid w:val="00216086"/>
    <w:rsid w:val="00222E8A"/>
    <w:rsid w:val="00263D32"/>
    <w:rsid w:val="00274DEC"/>
    <w:rsid w:val="002B3267"/>
    <w:rsid w:val="002F1AB5"/>
    <w:rsid w:val="003006B4"/>
    <w:rsid w:val="003136B6"/>
    <w:rsid w:val="003E3D5C"/>
    <w:rsid w:val="003E5237"/>
    <w:rsid w:val="003F1F7D"/>
    <w:rsid w:val="003F76EC"/>
    <w:rsid w:val="00494529"/>
    <w:rsid w:val="004B17D6"/>
    <w:rsid w:val="004C4863"/>
    <w:rsid w:val="005101E1"/>
    <w:rsid w:val="0051568C"/>
    <w:rsid w:val="0052724D"/>
    <w:rsid w:val="00527E1C"/>
    <w:rsid w:val="00584475"/>
    <w:rsid w:val="005C0F2C"/>
    <w:rsid w:val="005C668F"/>
    <w:rsid w:val="005E2159"/>
    <w:rsid w:val="00605EE2"/>
    <w:rsid w:val="006159FD"/>
    <w:rsid w:val="0064266F"/>
    <w:rsid w:val="00691222"/>
    <w:rsid w:val="006A2BCA"/>
    <w:rsid w:val="006B0C61"/>
    <w:rsid w:val="006C4773"/>
    <w:rsid w:val="006D39CD"/>
    <w:rsid w:val="00704FE8"/>
    <w:rsid w:val="00734897"/>
    <w:rsid w:val="007633DD"/>
    <w:rsid w:val="007B16FF"/>
    <w:rsid w:val="007C34EE"/>
    <w:rsid w:val="007D04BA"/>
    <w:rsid w:val="007E6C12"/>
    <w:rsid w:val="00804539"/>
    <w:rsid w:val="008831BE"/>
    <w:rsid w:val="008B2260"/>
    <w:rsid w:val="008C6C04"/>
    <w:rsid w:val="009268F8"/>
    <w:rsid w:val="0093200E"/>
    <w:rsid w:val="009350E8"/>
    <w:rsid w:val="0096197A"/>
    <w:rsid w:val="009A3DF3"/>
    <w:rsid w:val="009D625D"/>
    <w:rsid w:val="009F1D49"/>
    <w:rsid w:val="009F528C"/>
    <w:rsid w:val="00A040DB"/>
    <w:rsid w:val="00A76119"/>
    <w:rsid w:val="00A93EF4"/>
    <w:rsid w:val="00AC62E7"/>
    <w:rsid w:val="00AF6505"/>
    <w:rsid w:val="00B05543"/>
    <w:rsid w:val="00B3354E"/>
    <w:rsid w:val="00B44E3C"/>
    <w:rsid w:val="00B50A58"/>
    <w:rsid w:val="00BA5F2D"/>
    <w:rsid w:val="00BC34B3"/>
    <w:rsid w:val="00BE1C09"/>
    <w:rsid w:val="00C450E8"/>
    <w:rsid w:val="00C97638"/>
    <w:rsid w:val="00CB4020"/>
    <w:rsid w:val="00CC7F03"/>
    <w:rsid w:val="00D2244D"/>
    <w:rsid w:val="00E33CA8"/>
    <w:rsid w:val="00E44054"/>
    <w:rsid w:val="00E51DEB"/>
    <w:rsid w:val="00EA63FE"/>
    <w:rsid w:val="00EB48C9"/>
    <w:rsid w:val="00ED7FC8"/>
    <w:rsid w:val="00EF4A5F"/>
    <w:rsid w:val="00F50655"/>
    <w:rsid w:val="00F6631F"/>
    <w:rsid w:val="00FE1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54E"/>
    <w:rPr>
      <w:rFonts w:eastAsiaTheme="minorEastAsia"/>
    </w:rPr>
  </w:style>
  <w:style w:type="paragraph" w:styleId="Heading5">
    <w:name w:val="heading 5"/>
    <w:basedOn w:val="Normal"/>
    <w:next w:val="Normal"/>
    <w:link w:val="Heading5Char"/>
    <w:uiPriority w:val="9"/>
    <w:semiHidden/>
    <w:unhideWhenUsed/>
    <w:qFormat/>
    <w:rsid w:val="00B50A5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HRPara">
    <w:name w:val="ECHR_Para"/>
    <w:aliases w:val="Ju_Para,Left,First line:  0 cm,Para"/>
    <w:basedOn w:val="Normal"/>
    <w:link w:val="JuParaChar"/>
    <w:uiPriority w:val="12"/>
    <w:qFormat/>
    <w:rsid w:val="00B3354E"/>
    <w:pPr>
      <w:spacing w:after="0" w:line="240" w:lineRule="auto"/>
      <w:ind w:firstLine="284"/>
      <w:jc w:val="both"/>
    </w:pPr>
    <w:rPr>
      <w:sz w:val="24"/>
      <w:lang w:val="hy-AM" w:eastAsia="hy-AM" w:bidi="hy-AM"/>
    </w:rPr>
  </w:style>
  <w:style w:type="character" w:customStyle="1" w:styleId="JuParaChar">
    <w:name w:val="Ju_Para Char"/>
    <w:aliases w:val="ECHR_Para Char"/>
    <w:link w:val="ECHRPara"/>
    <w:uiPriority w:val="12"/>
    <w:rsid w:val="00B3354E"/>
    <w:rPr>
      <w:rFonts w:eastAsiaTheme="minorEastAsia"/>
      <w:sz w:val="24"/>
      <w:lang w:val="hy-AM" w:eastAsia="hy-AM" w:bidi="hy-AM"/>
    </w:rPr>
  </w:style>
  <w:style w:type="character" w:styleId="CommentReference">
    <w:name w:val="annotation reference"/>
    <w:basedOn w:val="DefaultParagraphFont"/>
    <w:uiPriority w:val="99"/>
    <w:semiHidden/>
    <w:unhideWhenUsed/>
    <w:rsid w:val="00013C2C"/>
    <w:rPr>
      <w:sz w:val="16"/>
      <w:szCs w:val="16"/>
    </w:rPr>
  </w:style>
  <w:style w:type="paragraph" w:styleId="CommentText">
    <w:name w:val="annotation text"/>
    <w:basedOn w:val="Normal"/>
    <w:link w:val="CommentTextChar"/>
    <w:uiPriority w:val="99"/>
    <w:semiHidden/>
    <w:unhideWhenUsed/>
    <w:rsid w:val="00013C2C"/>
    <w:pPr>
      <w:spacing w:line="240" w:lineRule="auto"/>
    </w:pPr>
    <w:rPr>
      <w:sz w:val="20"/>
      <w:szCs w:val="20"/>
    </w:rPr>
  </w:style>
  <w:style w:type="character" w:customStyle="1" w:styleId="CommentTextChar">
    <w:name w:val="Comment Text Char"/>
    <w:basedOn w:val="DefaultParagraphFont"/>
    <w:link w:val="CommentText"/>
    <w:uiPriority w:val="99"/>
    <w:semiHidden/>
    <w:rsid w:val="00013C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13C2C"/>
    <w:rPr>
      <w:b/>
      <w:bCs/>
    </w:rPr>
  </w:style>
  <w:style w:type="character" w:customStyle="1" w:styleId="CommentSubjectChar">
    <w:name w:val="Comment Subject Char"/>
    <w:basedOn w:val="CommentTextChar"/>
    <w:link w:val="CommentSubject"/>
    <w:uiPriority w:val="99"/>
    <w:semiHidden/>
    <w:rsid w:val="00013C2C"/>
    <w:rPr>
      <w:b/>
      <w:bCs/>
    </w:rPr>
  </w:style>
  <w:style w:type="paragraph" w:styleId="BalloonText">
    <w:name w:val="Balloon Text"/>
    <w:basedOn w:val="Normal"/>
    <w:link w:val="BalloonTextChar"/>
    <w:uiPriority w:val="99"/>
    <w:semiHidden/>
    <w:unhideWhenUsed/>
    <w:rsid w:val="00013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C2C"/>
    <w:rPr>
      <w:rFonts w:ascii="Tahoma" w:eastAsiaTheme="minorEastAsia" w:hAnsi="Tahoma" w:cs="Tahoma"/>
      <w:sz w:val="16"/>
      <w:szCs w:val="16"/>
    </w:rPr>
  </w:style>
  <w:style w:type="paragraph" w:styleId="FootnoteText">
    <w:name w:val="footnote text"/>
    <w:basedOn w:val="Normal"/>
    <w:link w:val="FootnoteTextChar"/>
    <w:uiPriority w:val="99"/>
    <w:semiHidden/>
    <w:unhideWhenUsed/>
    <w:rsid w:val="000249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981"/>
    <w:rPr>
      <w:rFonts w:eastAsiaTheme="minorEastAsia"/>
      <w:sz w:val="20"/>
      <w:szCs w:val="20"/>
    </w:rPr>
  </w:style>
  <w:style w:type="character" w:styleId="FootnoteReference">
    <w:name w:val="footnote reference"/>
    <w:basedOn w:val="DefaultParagraphFont"/>
    <w:uiPriority w:val="99"/>
    <w:semiHidden/>
    <w:unhideWhenUsed/>
    <w:rsid w:val="00024981"/>
    <w:rPr>
      <w:vertAlign w:val="superscript"/>
    </w:rPr>
  </w:style>
  <w:style w:type="paragraph" w:styleId="ListParagraph">
    <w:name w:val="List Paragraph"/>
    <w:basedOn w:val="Normal"/>
    <w:uiPriority w:val="34"/>
    <w:qFormat/>
    <w:rsid w:val="003136B6"/>
    <w:pPr>
      <w:ind w:left="720"/>
      <w:contextualSpacing/>
    </w:pPr>
  </w:style>
  <w:style w:type="paragraph" w:customStyle="1" w:styleId="ECHRHeading5">
    <w:name w:val="ECHR_Heading_5"/>
    <w:aliases w:val="Ju_H_i"/>
    <w:basedOn w:val="Heading5"/>
    <w:uiPriority w:val="23"/>
    <w:qFormat/>
    <w:rsid w:val="00B50A58"/>
    <w:pPr>
      <w:tabs>
        <w:tab w:val="left" w:pos="1191"/>
      </w:tabs>
      <w:spacing w:before="240" w:after="120" w:line="240" w:lineRule="auto"/>
      <w:ind w:left="1190" w:hanging="357"/>
      <w:jc w:val="both"/>
    </w:pPr>
    <w:rPr>
      <w:bCs/>
      <w:i/>
      <w:color w:val="auto"/>
      <w:sz w:val="20"/>
      <w:lang w:val="hy-AM" w:eastAsia="hy-AM" w:bidi="hy-AM"/>
    </w:rPr>
  </w:style>
  <w:style w:type="character" w:customStyle="1" w:styleId="Heading5Char">
    <w:name w:val="Heading 5 Char"/>
    <w:basedOn w:val="DefaultParagraphFont"/>
    <w:link w:val="Heading5"/>
    <w:uiPriority w:val="9"/>
    <w:semiHidden/>
    <w:rsid w:val="00B50A58"/>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BF443-B4B3-430B-A694-5D20F20F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https://mul2.gov.am/tasks/25241/oneclick/Teghekanq_Dadayan.docx?token=b54cb512a449bc595e93f2a78fdcc852</cp:keywords>
</cp:coreProperties>
</file>