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890"/>
        <w:gridCol w:w="4899"/>
        <w:gridCol w:w="1712"/>
        <w:gridCol w:w="3711"/>
      </w:tblGrid>
      <w:tr w:rsidR="00A179C6" w:rsidRPr="00A179C6" w:rsidTr="00A179C6">
        <w:tc>
          <w:tcPr>
            <w:tcW w:w="14930" w:type="dxa"/>
            <w:gridSpan w:val="5"/>
            <w:shd w:val="clear" w:color="auto" w:fill="auto"/>
          </w:tcPr>
          <w:p w:rsidR="00A179C6" w:rsidRPr="00A179C6" w:rsidRDefault="00A179C6" w:rsidP="00FC2A9E">
            <w:pPr>
              <w:shd w:val="clear" w:color="auto" w:fill="FFFFFF"/>
              <w:jc w:val="center"/>
              <w:rPr>
                <w:rFonts w:ascii="GHEA Grapalat" w:hAnsi="GHEA Grapalat"/>
                <w:b/>
                <w:bCs/>
                <w:color w:val="000000"/>
                <w:sz w:val="24"/>
                <w:szCs w:val="24"/>
                <w:lang w:val="hr-HR"/>
              </w:rPr>
            </w:pPr>
            <w:r w:rsidRPr="00A179C6">
              <w:rPr>
                <w:rFonts w:ascii="GHEA Grapalat" w:hAnsi="GHEA Grapalat"/>
                <w:b/>
                <w:bCs/>
                <w:color w:val="000000"/>
                <w:sz w:val="24"/>
                <w:szCs w:val="24"/>
              </w:rPr>
              <w:t>ՀԱՅԱՍՏԱՆԻ</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ՀԱՆՐԱՊԵՏՈՒԹՅԱՆ</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ԿԱՌԱՎԱՐՈՒԹՅԱՆ</w:t>
            </w:r>
            <w:r w:rsidRPr="00A179C6">
              <w:rPr>
                <w:rFonts w:ascii="GHEA Grapalat" w:hAnsi="GHEA Grapalat"/>
                <w:b/>
                <w:bCs/>
                <w:color w:val="000000"/>
                <w:sz w:val="24"/>
                <w:szCs w:val="24"/>
                <w:lang w:val="hr-HR"/>
              </w:rPr>
              <w:t xml:space="preserve"> 2010 </w:t>
            </w:r>
            <w:r w:rsidRPr="00A179C6">
              <w:rPr>
                <w:rFonts w:ascii="GHEA Grapalat" w:hAnsi="GHEA Grapalat"/>
                <w:b/>
                <w:bCs/>
                <w:color w:val="000000"/>
                <w:sz w:val="24"/>
                <w:szCs w:val="24"/>
              </w:rPr>
              <w:t>ԹՎԱԿԱՆԻ</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ՕԳՈՍՏՈՍԻ</w:t>
            </w:r>
            <w:r w:rsidRPr="00A179C6">
              <w:rPr>
                <w:rFonts w:ascii="GHEA Grapalat" w:hAnsi="GHEA Grapalat"/>
                <w:b/>
                <w:bCs/>
                <w:color w:val="000000"/>
                <w:sz w:val="24"/>
                <w:szCs w:val="24"/>
                <w:lang w:val="hr-HR"/>
              </w:rPr>
              <w:t xml:space="preserve"> 26-</w:t>
            </w:r>
            <w:r w:rsidRPr="00A179C6">
              <w:rPr>
                <w:rFonts w:ascii="GHEA Grapalat" w:hAnsi="GHEA Grapalat"/>
                <w:b/>
                <w:bCs/>
                <w:color w:val="000000"/>
                <w:sz w:val="24"/>
                <w:szCs w:val="24"/>
              </w:rPr>
              <w:t>Ի</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ԹԻՎ</w:t>
            </w:r>
            <w:r w:rsidRPr="00A179C6">
              <w:rPr>
                <w:rFonts w:ascii="GHEA Grapalat" w:hAnsi="GHEA Grapalat"/>
                <w:b/>
                <w:bCs/>
                <w:color w:val="000000"/>
                <w:sz w:val="24"/>
                <w:szCs w:val="24"/>
                <w:lang w:val="hr-HR"/>
              </w:rPr>
              <w:t xml:space="preserve"> 1104-</w:t>
            </w:r>
            <w:r w:rsidRPr="00A179C6">
              <w:rPr>
                <w:rFonts w:ascii="GHEA Grapalat" w:hAnsi="GHEA Grapalat"/>
                <w:b/>
                <w:bCs/>
                <w:color w:val="000000"/>
                <w:sz w:val="24"/>
                <w:szCs w:val="24"/>
              </w:rPr>
              <w:t>Ն</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ՈՐՈՇՄԱՆ</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ՄԵՋ</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ՓՈՓՈԽՈՒԹՅՈՒՆՆԵՐ</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ԵՎ</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ԼՐԱՑՈՒՄ</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ԿԱՏԱՐԵԼՈՒ</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ՄԱՍԻՆ</w:t>
            </w:r>
          </w:p>
          <w:p w:rsidR="00A179C6" w:rsidRPr="00A179C6" w:rsidRDefault="00A179C6" w:rsidP="00FC2A9E">
            <w:pPr>
              <w:jc w:val="center"/>
              <w:rPr>
                <w:rFonts w:ascii="GHEA Grapalat" w:hAnsi="GHEA Grapalat"/>
                <w:b/>
                <w:bCs/>
                <w:color w:val="000000"/>
                <w:sz w:val="24"/>
                <w:szCs w:val="24"/>
                <w:lang w:val="hr-HR"/>
              </w:rPr>
            </w:pPr>
            <w:r w:rsidRPr="00A179C6">
              <w:rPr>
                <w:rFonts w:ascii="GHEA Grapalat" w:hAnsi="GHEA Grapalat"/>
                <w:b/>
                <w:bCs/>
                <w:color w:val="000000"/>
                <w:sz w:val="24"/>
                <w:szCs w:val="24"/>
              </w:rPr>
              <w:t>ՆԱԽԱԳԾԻ</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ՎԵՐԱԲԵՐՅԱԼ</w:t>
            </w:r>
          </w:p>
          <w:p w:rsidR="00A179C6" w:rsidRPr="00A179C6" w:rsidRDefault="00A179C6" w:rsidP="00FC2A9E">
            <w:pPr>
              <w:jc w:val="center"/>
              <w:rPr>
                <w:rFonts w:ascii="GHEA Grapalat" w:hAnsi="GHEA Grapalat"/>
                <w:b/>
                <w:bCs/>
                <w:color w:val="000000"/>
                <w:sz w:val="24"/>
                <w:szCs w:val="24"/>
                <w:lang w:val="hr-HR"/>
              </w:rPr>
            </w:pP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ԱՌԱՋԱՐԿՈՒԹՅՈՒՆՆԵՐԻ</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և</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ԴԻՏՈՂՈՒԹՅՈՒՆՆԵՐԻ</w:t>
            </w:r>
            <w:r w:rsidRPr="00A179C6">
              <w:rPr>
                <w:rFonts w:ascii="GHEA Grapalat" w:hAnsi="GHEA Grapalat"/>
                <w:b/>
                <w:bCs/>
                <w:color w:val="000000"/>
                <w:sz w:val="24"/>
                <w:szCs w:val="24"/>
                <w:lang w:val="hr-HR"/>
              </w:rPr>
              <w:t xml:space="preserve"> </w:t>
            </w:r>
            <w:r w:rsidRPr="00A179C6">
              <w:rPr>
                <w:rFonts w:ascii="GHEA Grapalat" w:hAnsi="GHEA Grapalat"/>
                <w:b/>
                <w:bCs/>
                <w:color w:val="000000"/>
                <w:sz w:val="24"/>
                <w:szCs w:val="24"/>
              </w:rPr>
              <w:t>ԱՄՓՈՓԱԹԵՐԹ</w:t>
            </w:r>
          </w:p>
          <w:p w:rsidR="00A179C6" w:rsidRPr="00A179C6" w:rsidRDefault="00A179C6" w:rsidP="00FC2A9E">
            <w:pPr>
              <w:jc w:val="center"/>
              <w:rPr>
                <w:rFonts w:ascii="GHEA Grapalat" w:hAnsi="GHEA Grapalat"/>
                <w:b/>
                <w:sz w:val="24"/>
                <w:szCs w:val="24"/>
                <w:lang w:val="hr-HR" w:eastAsia="ru-RU"/>
              </w:rPr>
            </w:pPr>
          </w:p>
        </w:tc>
      </w:tr>
      <w:tr w:rsidR="00A179C6" w:rsidRPr="00A179C6" w:rsidTr="00A179C6">
        <w:tc>
          <w:tcPr>
            <w:tcW w:w="2718" w:type="dxa"/>
            <w:shd w:val="clear" w:color="auto" w:fill="auto"/>
          </w:tcPr>
          <w:p w:rsidR="00A179C6" w:rsidRPr="00A179C6" w:rsidRDefault="00A179C6" w:rsidP="00FC2A9E">
            <w:pPr>
              <w:tabs>
                <w:tab w:val="left" w:pos="330"/>
              </w:tabs>
              <w:jc w:val="center"/>
              <w:rPr>
                <w:rFonts w:ascii="GHEA Grapalat" w:hAnsi="GHEA Grapalat"/>
                <w:b/>
                <w:sz w:val="24"/>
                <w:szCs w:val="24"/>
                <w:lang w:eastAsia="ru-RU"/>
              </w:rPr>
            </w:pPr>
            <w:r w:rsidRPr="00A179C6">
              <w:rPr>
                <w:rFonts w:ascii="GHEA Grapalat" w:hAnsi="GHEA Grapalat"/>
                <w:b/>
                <w:sz w:val="24"/>
                <w:szCs w:val="24"/>
                <w:lang w:eastAsia="ru-RU"/>
              </w:rPr>
              <w:t>Առաջարկություն,դիտողություն ներկայացնող մարմին</w:t>
            </w:r>
          </w:p>
        </w:tc>
        <w:tc>
          <w:tcPr>
            <w:tcW w:w="1890" w:type="dxa"/>
            <w:shd w:val="clear" w:color="auto" w:fill="auto"/>
          </w:tcPr>
          <w:p w:rsidR="00A179C6" w:rsidRPr="00A179C6" w:rsidRDefault="00A179C6" w:rsidP="00FC2A9E">
            <w:pPr>
              <w:jc w:val="center"/>
              <w:rPr>
                <w:rFonts w:ascii="GHEA Grapalat" w:hAnsi="GHEA Grapalat"/>
                <w:b/>
                <w:sz w:val="24"/>
                <w:szCs w:val="24"/>
                <w:lang w:eastAsia="ru-RU"/>
              </w:rPr>
            </w:pPr>
            <w:r w:rsidRPr="00A179C6">
              <w:rPr>
                <w:rFonts w:ascii="GHEA Grapalat" w:hAnsi="GHEA Grapalat"/>
                <w:b/>
                <w:sz w:val="24"/>
                <w:szCs w:val="24"/>
                <w:lang w:eastAsia="ru-RU"/>
              </w:rPr>
              <w:t>Գրության   ամսաթիվը, գրության համարը</w:t>
            </w:r>
          </w:p>
        </w:tc>
        <w:tc>
          <w:tcPr>
            <w:tcW w:w="4899" w:type="dxa"/>
            <w:shd w:val="clear" w:color="auto" w:fill="auto"/>
          </w:tcPr>
          <w:p w:rsidR="00A179C6" w:rsidRPr="00A179C6" w:rsidRDefault="00A179C6" w:rsidP="00FC2A9E">
            <w:pPr>
              <w:jc w:val="center"/>
              <w:rPr>
                <w:rFonts w:ascii="GHEA Grapalat" w:hAnsi="GHEA Grapalat"/>
                <w:b/>
                <w:sz w:val="24"/>
                <w:szCs w:val="24"/>
                <w:lang w:eastAsia="ru-RU"/>
              </w:rPr>
            </w:pPr>
            <w:r w:rsidRPr="00A179C6">
              <w:rPr>
                <w:rFonts w:ascii="GHEA Grapalat" w:hAnsi="GHEA Grapalat"/>
                <w:b/>
                <w:sz w:val="24"/>
                <w:szCs w:val="24"/>
                <w:lang w:eastAsia="ru-RU"/>
              </w:rPr>
              <w:t>Առաջարկներ և դիտողություններ</w:t>
            </w:r>
          </w:p>
        </w:tc>
        <w:tc>
          <w:tcPr>
            <w:tcW w:w="1712" w:type="dxa"/>
            <w:shd w:val="clear" w:color="auto" w:fill="auto"/>
          </w:tcPr>
          <w:p w:rsidR="00A179C6" w:rsidRPr="00A179C6" w:rsidRDefault="00A179C6" w:rsidP="00FC2A9E">
            <w:pPr>
              <w:jc w:val="center"/>
              <w:rPr>
                <w:rFonts w:ascii="GHEA Grapalat" w:hAnsi="GHEA Grapalat"/>
                <w:b/>
                <w:sz w:val="24"/>
                <w:szCs w:val="24"/>
                <w:lang w:eastAsia="ru-RU"/>
              </w:rPr>
            </w:pPr>
            <w:r w:rsidRPr="00A179C6">
              <w:rPr>
                <w:rFonts w:ascii="GHEA Grapalat" w:hAnsi="GHEA Grapalat"/>
                <w:b/>
                <w:sz w:val="24"/>
                <w:szCs w:val="24"/>
                <w:lang w:eastAsia="ru-RU"/>
              </w:rPr>
              <w:t>Դիրքորոշում</w:t>
            </w:r>
          </w:p>
        </w:tc>
        <w:tc>
          <w:tcPr>
            <w:tcW w:w="3711" w:type="dxa"/>
            <w:shd w:val="clear" w:color="auto" w:fill="auto"/>
          </w:tcPr>
          <w:p w:rsidR="00A179C6" w:rsidRPr="00A179C6" w:rsidRDefault="00A179C6" w:rsidP="00FC2A9E">
            <w:pPr>
              <w:jc w:val="center"/>
              <w:rPr>
                <w:rFonts w:ascii="GHEA Grapalat" w:hAnsi="GHEA Grapalat"/>
                <w:b/>
                <w:sz w:val="24"/>
                <w:szCs w:val="24"/>
                <w:lang w:eastAsia="ru-RU"/>
              </w:rPr>
            </w:pPr>
            <w:r w:rsidRPr="00A179C6">
              <w:rPr>
                <w:rFonts w:ascii="GHEA Grapalat" w:hAnsi="GHEA Grapalat"/>
                <w:b/>
                <w:sz w:val="24"/>
                <w:szCs w:val="24"/>
                <w:lang w:eastAsia="ru-RU"/>
              </w:rPr>
              <w:t>Մեկնաբանություն</w:t>
            </w:r>
          </w:p>
        </w:tc>
      </w:tr>
      <w:tr w:rsidR="00A179C6" w:rsidRPr="00A179C6" w:rsidTr="00A179C6">
        <w:tc>
          <w:tcPr>
            <w:tcW w:w="2718" w:type="dxa"/>
            <w:tcBorders>
              <w:bottom w:val="single" w:sz="4" w:space="0" w:color="auto"/>
            </w:tcBorders>
            <w:shd w:val="clear" w:color="auto" w:fill="auto"/>
            <w:vAlign w:val="center"/>
          </w:tcPr>
          <w:p w:rsidR="00A179C6" w:rsidRPr="00A179C6" w:rsidRDefault="00A179C6" w:rsidP="00FC2A9E">
            <w:pPr>
              <w:tabs>
                <w:tab w:val="left" w:pos="330"/>
              </w:tabs>
              <w:jc w:val="center"/>
              <w:rPr>
                <w:rFonts w:ascii="GHEA Grapalat" w:hAnsi="GHEA Grapalat"/>
                <w:b/>
                <w:sz w:val="24"/>
                <w:szCs w:val="24"/>
                <w:lang w:val="hy-AM" w:eastAsia="ru-RU"/>
              </w:rPr>
            </w:pPr>
            <w:r w:rsidRPr="00A179C6">
              <w:rPr>
                <w:rFonts w:ascii="GHEA Grapalat" w:hAnsi="GHEA Grapalat"/>
                <w:b/>
                <w:sz w:val="24"/>
                <w:szCs w:val="24"/>
                <w:lang w:eastAsia="ru-RU"/>
              </w:rPr>
              <w:t>1</w:t>
            </w:r>
          </w:p>
        </w:tc>
        <w:tc>
          <w:tcPr>
            <w:tcW w:w="1890" w:type="dxa"/>
            <w:tcBorders>
              <w:bottom w:val="single" w:sz="4" w:space="0" w:color="auto"/>
            </w:tcBorders>
            <w:shd w:val="clear" w:color="auto" w:fill="auto"/>
            <w:vAlign w:val="center"/>
          </w:tcPr>
          <w:p w:rsidR="00A179C6" w:rsidRPr="00A179C6" w:rsidRDefault="00A179C6" w:rsidP="00FC2A9E">
            <w:pPr>
              <w:spacing w:line="276" w:lineRule="auto"/>
              <w:jc w:val="center"/>
              <w:rPr>
                <w:rFonts w:ascii="GHEA Grapalat" w:hAnsi="GHEA Grapalat"/>
                <w:b/>
                <w:sz w:val="24"/>
                <w:szCs w:val="24"/>
                <w:lang w:eastAsia="ru-RU"/>
              </w:rPr>
            </w:pPr>
            <w:r w:rsidRPr="00A179C6">
              <w:rPr>
                <w:rFonts w:ascii="GHEA Grapalat" w:hAnsi="GHEA Grapalat"/>
                <w:b/>
                <w:sz w:val="24"/>
                <w:szCs w:val="24"/>
                <w:lang w:eastAsia="ru-RU"/>
              </w:rPr>
              <w:t>2</w:t>
            </w:r>
          </w:p>
        </w:tc>
        <w:tc>
          <w:tcPr>
            <w:tcW w:w="4899" w:type="dxa"/>
            <w:tcBorders>
              <w:bottom w:val="single" w:sz="4" w:space="0" w:color="auto"/>
            </w:tcBorders>
            <w:shd w:val="clear" w:color="auto" w:fill="auto"/>
            <w:vAlign w:val="center"/>
          </w:tcPr>
          <w:p w:rsidR="00A179C6" w:rsidRPr="00A179C6" w:rsidRDefault="00A179C6" w:rsidP="00FC2A9E">
            <w:pPr>
              <w:spacing w:line="276" w:lineRule="auto"/>
              <w:jc w:val="center"/>
              <w:rPr>
                <w:rFonts w:ascii="GHEA Grapalat" w:hAnsi="GHEA Grapalat"/>
                <w:b/>
                <w:sz w:val="24"/>
                <w:szCs w:val="24"/>
                <w:lang w:eastAsia="ru-RU"/>
              </w:rPr>
            </w:pPr>
            <w:r w:rsidRPr="00A179C6">
              <w:rPr>
                <w:rFonts w:ascii="GHEA Grapalat" w:hAnsi="GHEA Grapalat"/>
                <w:b/>
                <w:sz w:val="24"/>
                <w:szCs w:val="24"/>
                <w:lang w:eastAsia="ru-RU"/>
              </w:rPr>
              <w:t>3</w:t>
            </w:r>
          </w:p>
        </w:tc>
        <w:tc>
          <w:tcPr>
            <w:tcW w:w="1712" w:type="dxa"/>
            <w:tcBorders>
              <w:bottom w:val="single" w:sz="4" w:space="0" w:color="auto"/>
            </w:tcBorders>
            <w:shd w:val="clear" w:color="auto" w:fill="auto"/>
          </w:tcPr>
          <w:p w:rsidR="00A179C6" w:rsidRPr="00A179C6" w:rsidRDefault="00A179C6" w:rsidP="00FC2A9E">
            <w:pPr>
              <w:spacing w:line="276" w:lineRule="auto"/>
              <w:jc w:val="center"/>
              <w:rPr>
                <w:rFonts w:ascii="GHEA Grapalat" w:hAnsi="GHEA Grapalat"/>
                <w:b/>
                <w:sz w:val="24"/>
                <w:szCs w:val="24"/>
                <w:lang w:eastAsia="ru-RU"/>
              </w:rPr>
            </w:pPr>
            <w:r w:rsidRPr="00A179C6">
              <w:rPr>
                <w:rFonts w:ascii="GHEA Grapalat" w:hAnsi="GHEA Grapalat"/>
                <w:b/>
                <w:sz w:val="24"/>
                <w:szCs w:val="24"/>
                <w:lang w:eastAsia="ru-RU"/>
              </w:rPr>
              <w:t>4</w:t>
            </w:r>
          </w:p>
        </w:tc>
        <w:tc>
          <w:tcPr>
            <w:tcW w:w="3711" w:type="dxa"/>
            <w:tcBorders>
              <w:bottom w:val="single" w:sz="4" w:space="0" w:color="auto"/>
            </w:tcBorders>
            <w:shd w:val="clear" w:color="auto" w:fill="auto"/>
            <w:vAlign w:val="center"/>
          </w:tcPr>
          <w:p w:rsidR="00A179C6" w:rsidRPr="00A179C6" w:rsidRDefault="00A179C6" w:rsidP="00FC2A9E">
            <w:pPr>
              <w:spacing w:line="276" w:lineRule="auto"/>
              <w:jc w:val="center"/>
              <w:rPr>
                <w:rFonts w:ascii="GHEA Grapalat" w:hAnsi="GHEA Grapalat"/>
                <w:b/>
                <w:sz w:val="24"/>
                <w:szCs w:val="24"/>
              </w:rPr>
            </w:pPr>
            <w:r w:rsidRPr="00A179C6">
              <w:rPr>
                <w:rFonts w:ascii="GHEA Grapalat" w:hAnsi="GHEA Grapalat"/>
                <w:b/>
                <w:sz w:val="24"/>
                <w:szCs w:val="24"/>
              </w:rPr>
              <w:t>5</w:t>
            </w:r>
          </w:p>
        </w:tc>
      </w:tr>
      <w:tr w:rsidR="00A179C6" w:rsidRPr="00A179C6" w:rsidTr="00A179C6">
        <w:tc>
          <w:tcPr>
            <w:tcW w:w="2718" w:type="dxa"/>
            <w:vMerge w:val="restart"/>
            <w:shd w:val="clear" w:color="auto" w:fill="auto"/>
          </w:tcPr>
          <w:p w:rsidR="00A179C6" w:rsidRPr="00A179C6" w:rsidRDefault="00A179C6" w:rsidP="00FC2A9E">
            <w:pPr>
              <w:rPr>
                <w:rFonts w:ascii="GHEA Grapalat" w:hAnsi="GHEA Grapalat" w:cs="Sylfaen"/>
                <w:b/>
                <w:i/>
                <w:sz w:val="24"/>
                <w:szCs w:val="24"/>
              </w:rPr>
            </w:pPr>
          </w:p>
          <w:p w:rsidR="00A179C6" w:rsidRPr="00A179C6" w:rsidRDefault="00A179C6" w:rsidP="00FC2A9E">
            <w:pPr>
              <w:rPr>
                <w:rFonts w:ascii="GHEA Grapalat" w:hAnsi="GHEA Grapalat" w:cs="Sylfaen"/>
                <w:b/>
                <w:i/>
                <w:sz w:val="24"/>
                <w:szCs w:val="24"/>
              </w:rPr>
            </w:pPr>
            <w:r w:rsidRPr="00A179C6">
              <w:rPr>
                <w:rFonts w:ascii="GHEA Grapalat" w:hAnsi="GHEA Grapalat" w:cs="Sylfaen"/>
                <w:b/>
                <w:i/>
                <w:sz w:val="24"/>
                <w:szCs w:val="24"/>
              </w:rPr>
              <w:t>ՀՀ ֆինանսների նախարարություն</w:t>
            </w:r>
          </w:p>
          <w:p w:rsidR="00A179C6" w:rsidRPr="00A179C6" w:rsidRDefault="00A179C6" w:rsidP="00FC2A9E">
            <w:pPr>
              <w:rPr>
                <w:rFonts w:ascii="GHEA Grapalat" w:hAnsi="GHEA Grapalat" w:cs="Sylfaen"/>
                <w:b/>
                <w:i/>
              </w:rPr>
            </w:pPr>
          </w:p>
        </w:tc>
        <w:tc>
          <w:tcPr>
            <w:tcW w:w="1890" w:type="dxa"/>
            <w:shd w:val="clear" w:color="auto" w:fill="auto"/>
          </w:tcPr>
          <w:p w:rsidR="00A179C6" w:rsidRPr="00A179C6" w:rsidRDefault="00A179C6" w:rsidP="00FC2A9E">
            <w:pPr>
              <w:spacing w:line="276" w:lineRule="auto"/>
              <w:jc w:val="center"/>
              <w:rPr>
                <w:rFonts w:ascii="GHEA Grapalat" w:hAnsi="GHEA Grapalat" w:cs="Calibri"/>
                <w:b/>
                <w:color w:val="000000"/>
                <w:sz w:val="24"/>
                <w:szCs w:val="24"/>
              </w:rPr>
            </w:pPr>
          </w:p>
          <w:p w:rsidR="00A179C6" w:rsidRPr="00A179C6" w:rsidRDefault="00A179C6" w:rsidP="00FC2A9E">
            <w:pPr>
              <w:spacing w:line="276" w:lineRule="auto"/>
              <w:jc w:val="center"/>
              <w:rPr>
                <w:rFonts w:ascii="GHEA Grapalat" w:hAnsi="GHEA Grapalat" w:cs="Calibri"/>
                <w:b/>
                <w:color w:val="000000"/>
                <w:sz w:val="24"/>
                <w:szCs w:val="24"/>
              </w:rPr>
            </w:pPr>
            <w:r w:rsidRPr="00A179C6">
              <w:rPr>
                <w:rFonts w:ascii="GHEA Grapalat" w:hAnsi="GHEA Grapalat" w:cs="Calibri"/>
                <w:b/>
                <w:color w:val="000000"/>
                <w:sz w:val="24"/>
                <w:szCs w:val="24"/>
              </w:rPr>
              <w:t>15.12.2015թ</w:t>
            </w:r>
          </w:p>
          <w:p w:rsidR="00A179C6" w:rsidRPr="00A179C6" w:rsidRDefault="00A179C6" w:rsidP="00FC2A9E">
            <w:pPr>
              <w:spacing w:line="276" w:lineRule="auto"/>
              <w:jc w:val="center"/>
              <w:rPr>
                <w:rFonts w:ascii="GHEA Grapalat" w:hAnsi="GHEA Grapalat" w:cs="Calibri"/>
                <w:b/>
                <w:color w:val="000000"/>
                <w:sz w:val="24"/>
                <w:szCs w:val="24"/>
              </w:rPr>
            </w:pPr>
          </w:p>
          <w:p w:rsidR="00A179C6" w:rsidRPr="00A179C6" w:rsidRDefault="00A179C6" w:rsidP="00FC2A9E">
            <w:pPr>
              <w:spacing w:line="276" w:lineRule="auto"/>
              <w:jc w:val="center"/>
              <w:rPr>
                <w:rFonts w:ascii="GHEA Grapalat" w:hAnsi="GHEA Grapalat" w:cs="Calibri"/>
                <w:b/>
                <w:color w:val="000000"/>
                <w:sz w:val="24"/>
                <w:szCs w:val="24"/>
              </w:rPr>
            </w:pPr>
            <w:r w:rsidRPr="00A179C6">
              <w:rPr>
                <w:rFonts w:ascii="GHEA Grapalat" w:hAnsi="GHEA Grapalat" w:cs="Calibri"/>
                <w:b/>
                <w:color w:val="000000"/>
                <w:sz w:val="24"/>
                <w:szCs w:val="24"/>
              </w:rPr>
              <w:t>01/11/40341-15</w:t>
            </w:r>
          </w:p>
        </w:tc>
        <w:tc>
          <w:tcPr>
            <w:tcW w:w="4899" w:type="dxa"/>
            <w:shd w:val="clear" w:color="auto" w:fill="auto"/>
          </w:tcPr>
          <w:p w:rsidR="00A179C6" w:rsidRPr="00A179C6" w:rsidRDefault="00A179C6" w:rsidP="00FC2A9E">
            <w:pPr>
              <w:tabs>
                <w:tab w:val="left" w:pos="119"/>
                <w:tab w:val="left" w:pos="330"/>
                <w:tab w:val="left" w:pos="522"/>
                <w:tab w:val="left" w:pos="612"/>
              </w:tabs>
              <w:spacing w:line="276" w:lineRule="auto"/>
              <w:jc w:val="both"/>
              <w:rPr>
                <w:rFonts w:ascii="GHEA Grapalat" w:hAnsi="GHEA Grapalat"/>
                <w:sz w:val="24"/>
                <w:szCs w:val="24"/>
                <w:lang w:eastAsia="ru-RU"/>
              </w:rPr>
            </w:pPr>
            <w:r w:rsidRPr="00A179C6">
              <w:rPr>
                <w:rFonts w:ascii="GHEA Grapalat" w:hAnsi="GHEA Grapalat"/>
                <w:sz w:val="24"/>
                <w:szCs w:val="24"/>
                <w:lang w:eastAsia="ru-RU"/>
              </w:rPr>
              <w:t>1. Նախագծի 1-ին կետի 4-րդ ենթակետում «(կցվում է)» բառերն անհրաժեշտ է հանել:</w:t>
            </w:r>
          </w:p>
        </w:tc>
        <w:tc>
          <w:tcPr>
            <w:tcW w:w="1712" w:type="dxa"/>
            <w:shd w:val="clear" w:color="auto" w:fill="auto"/>
          </w:tcPr>
          <w:p w:rsidR="00A179C6" w:rsidRPr="00A179C6" w:rsidRDefault="00A179C6" w:rsidP="00FC2A9E">
            <w:pPr>
              <w:tabs>
                <w:tab w:val="left" w:pos="0"/>
                <w:tab w:val="left" w:pos="119"/>
              </w:tabs>
              <w:spacing w:line="276" w:lineRule="auto"/>
              <w:jc w:val="both"/>
              <w:rPr>
                <w:rFonts w:ascii="GHEA Grapalat" w:hAnsi="GHEA Grapalat"/>
                <w:sz w:val="24"/>
                <w:szCs w:val="24"/>
                <w:lang w:eastAsia="ru-RU"/>
              </w:rPr>
            </w:pPr>
            <w:r w:rsidRPr="00A179C6">
              <w:rPr>
                <w:rFonts w:ascii="GHEA Grapalat" w:hAnsi="GHEA Grapalat"/>
                <w:sz w:val="24"/>
                <w:szCs w:val="24"/>
                <w:lang w:eastAsia="ru-RU"/>
              </w:rPr>
              <w:t xml:space="preserve">Ընդունվել է </w:t>
            </w:r>
          </w:p>
        </w:tc>
        <w:tc>
          <w:tcPr>
            <w:tcW w:w="3711" w:type="dxa"/>
            <w:shd w:val="clear" w:color="auto" w:fill="auto"/>
          </w:tcPr>
          <w:p w:rsidR="00A179C6" w:rsidRPr="00A179C6" w:rsidRDefault="00A179C6" w:rsidP="00FC2A9E">
            <w:pPr>
              <w:tabs>
                <w:tab w:val="left" w:pos="119"/>
              </w:tabs>
              <w:spacing w:line="276" w:lineRule="auto"/>
              <w:jc w:val="both"/>
              <w:rPr>
                <w:rFonts w:ascii="GHEA Grapalat" w:hAnsi="GHEA Grapalat"/>
                <w:sz w:val="24"/>
                <w:szCs w:val="24"/>
                <w:lang w:eastAsia="ru-RU"/>
              </w:rPr>
            </w:pPr>
            <w:r w:rsidRPr="00A179C6">
              <w:rPr>
                <w:rFonts w:ascii="GHEA Grapalat" w:hAnsi="GHEA Grapalat"/>
                <w:sz w:val="24"/>
                <w:szCs w:val="24"/>
                <w:lang w:eastAsia="ru-RU"/>
              </w:rPr>
              <w:t>Կատարվել է համապատասխան փոփոխություն:</w:t>
            </w:r>
          </w:p>
        </w:tc>
      </w:tr>
      <w:tr w:rsidR="00A179C6" w:rsidRPr="00A179C6" w:rsidTr="00A179C6">
        <w:trPr>
          <w:trHeight w:val="3613"/>
        </w:trPr>
        <w:tc>
          <w:tcPr>
            <w:tcW w:w="2718" w:type="dxa"/>
            <w:vMerge/>
            <w:shd w:val="clear" w:color="auto" w:fill="auto"/>
          </w:tcPr>
          <w:p w:rsidR="00A179C6" w:rsidRPr="00A179C6" w:rsidRDefault="00A179C6" w:rsidP="00FC2A9E">
            <w:pPr>
              <w:rPr>
                <w:rFonts w:ascii="GHEA Grapalat" w:hAnsi="GHEA Grapalat" w:cs="Sylfaen"/>
                <w:b/>
                <w:i/>
                <w:sz w:val="24"/>
                <w:szCs w:val="24"/>
              </w:rPr>
            </w:pPr>
          </w:p>
        </w:tc>
        <w:tc>
          <w:tcPr>
            <w:tcW w:w="1890" w:type="dxa"/>
            <w:shd w:val="clear" w:color="auto" w:fill="auto"/>
          </w:tcPr>
          <w:p w:rsidR="00A179C6" w:rsidRPr="00A179C6" w:rsidRDefault="00A179C6" w:rsidP="00FC2A9E">
            <w:pPr>
              <w:spacing w:line="276" w:lineRule="auto"/>
              <w:jc w:val="center"/>
              <w:rPr>
                <w:rFonts w:ascii="GHEA Grapalat" w:hAnsi="GHEA Grapalat" w:cs="Calibri"/>
                <w:b/>
                <w:color w:val="000000"/>
                <w:sz w:val="24"/>
                <w:szCs w:val="24"/>
              </w:rPr>
            </w:pPr>
          </w:p>
        </w:tc>
        <w:tc>
          <w:tcPr>
            <w:tcW w:w="4899" w:type="dxa"/>
            <w:shd w:val="clear" w:color="auto" w:fill="auto"/>
          </w:tcPr>
          <w:p w:rsidR="00A179C6" w:rsidRPr="00A179C6" w:rsidRDefault="00A179C6" w:rsidP="00FC2A9E">
            <w:pPr>
              <w:tabs>
                <w:tab w:val="left" w:pos="119"/>
                <w:tab w:val="left" w:pos="330"/>
                <w:tab w:val="left" w:pos="522"/>
                <w:tab w:val="left" w:pos="612"/>
              </w:tabs>
              <w:spacing w:line="276" w:lineRule="auto"/>
              <w:jc w:val="both"/>
              <w:rPr>
                <w:rFonts w:ascii="GHEA Grapalat" w:hAnsi="GHEA Grapalat"/>
                <w:sz w:val="24"/>
                <w:szCs w:val="24"/>
                <w:lang w:eastAsia="ru-RU"/>
              </w:rPr>
            </w:pPr>
            <w:r w:rsidRPr="00A179C6">
              <w:rPr>
                <w:rFonts w:ascii="GHEA Grapalat" w:hAnsi="GHEA Grapalat"/>
                <w:sz w:val="24"/>
                <w:szCs w:val="24"/>
                <w:lang w:eastAsia="ru-RU"/>
              </w:rPr>
              <w:t xml:space="preserve">2. Առաջարկում ենք Նախագծի 1-ին կետի 4-րդ ենթակետով խմբագրվող Ձև N 1-ում (այսուհետ` Ձև N 1) նախատեսել «վարորդների մեղավորության վերաբերյալ» դաշտ, որտեղ պետք է նշվի ապահովագրական պատահարում վարորդների մեղավորության չափի վերաբերյալ տեղեկատվություն (Օր.` ամբողջությամբ մեղավոր, մասնակի մեղավոր կամ անմեղ): Սա հնարավորություն կտա կարգավորել նաև այն դեպքերը, երբ ապահովագրական </w:t>
            </w:r>
            <w:r w:rsidRPr="00A179C6">
              <w:rPr>
                <w:rFonts w:ascii="GHEA Grapalat" w:hAnsi="GHEA Grapalat"/>
                <w:sz w:val="24"/>
                <w:szCs w:val="24"/>
                <w:lang w:eastAsia="ru-RU"/>
              </w:rPr>
              <w:lastRenderedPageBreak/>
              <w:t xml:space="preserve">պատահարում երկու ՏՄ-ի վարորդներն էլ կլինեն մեղավոր և , հետևաբար, երկուսն էլ մասնակիորեն կընդունեն իրենց մեղավորությունը: Այսինքն, տվյալ  դեպքում ապահովագրական ընկերության կողմից ապահովագրական հատուցումը կիրականացվի վնասի 50%-ի չափով` համաձայն Հայաստանի ավտոապահովագրողների բյուրո իրավաբանական անձանց միության (ԱՊՊԱ ոլորտում ապահովագրական ընկերությունների կողմից ապահովագրական հատուցումների վճարման) RL 1-017 կանոնների 3-րդ  բաժնի 5-րդ գլխի 21-րդ կետի պահանջների, այն է` Ապահովագրական պատահարում տուժողի կամ տուժողի ավտոտրանսպորտային միջոցը տիրապետող անձի ոչ դիտավորյալ մեղքի առկայության դեպքում (պատահարում ներգրավված անձինք, բացառությամբ այն անձանց, որոնք համաձայն փորձաքննության ճանաչվել են ապահովագրական պատահարի առաջացման մեջ անմեղ, համարվում են </w:t>
            </w:r>
            <w:r w:rsidRPr="00A179C6">
              <w:rPr>
                <w:rFonts w:ascii="GHEA Grapalat" w:hAnsi="GHEA Grapalat"/>
                <w:sz w:val="24"/>
                <w:szCs w:val="24"/>
                <w:lang w:eastAsia="ru-RU"/>
              </w:rPr>
              <w:lastRenderedPageBreak/>
              <w:t>ապահովագրական պատահարի առաջացման մեջ ոչ դիտավորյալ մեղք ունեցող նաև այն դեպքում, երբ տվյալ ապահովագրական պատահարի առաջացման մեջ չի հաստատվել մասնակից անձանցից ոչ մեկի մեղավորությունը) ապահովագրական պատահարում տուժողի կամ տուժողի ավտոտրանսպորտային միջոցը տիրապետող անձի մեղավորությունը՝ տվյալ տուժողի գույքին պատճառված վնասների մասով գնահատվում է 50 տոկոսի չափով, իսկ այլ անձանց պատճառված վնասների մասով պատահարում ոչ դիտավորյալ մեղք ունեցող անձանց միջև մեղավորությունը բաշխվում է հավասարաչափ, եթե մեղավորության այլ աստիճան չի սահմանվել դատարանի` օրինական ուժի մեջ մտած որոշմամբ:</w:t>
            </w:r>
          </w:p>
          <w:p w:rsidR="00A179C6" w:rsidRPr="00A179C6" w:rsidRDefault="00A179C6" w:rsidP="00FC2A9E">
            <w:pPr>
              <w:tabs>
                <w:tab w:val="left" w:pos="119"/>
                <w:tab w:val="left" w:pos="330"/>
                <w:tab w:val="left" w:pos="522"/>
                <w:tab w:val="left" w:pos="612"/>
              </w:tabs>
              <w:spacing w:line="276" w:lineRule="auto"/>
              <w:jc w:val="both"/>
              <w:rPr>
                <w:rFonts w:ascii="GHEA Grapalat" w:hAnsi="GHEA Grapalat"/>
                <w:sz w:val="24"/>
                <w:szCs w:val="24"/>
                <w:lang w:eastAsia="ru-RU"/>
              </w:rPr>
            </w:pPr>
          </w:p>
        </w:tc>
        <w:tc>
          <w:tcPr>
            <w:tcW w:w="1712" w:type="dxa"/>
            <w:shd w:val="clear" w:color="auto" w:fill="auto"/>
          </w:tcPr>
          <w:p w:rsidR="00A179C6" w:rsidRPr="00A179C6" w:rsidRDefault="00A179C6" w:rsidP="00FC2A9E">
            <w:pPr>
              <w:tabs>
                <w:tab w:val="left" w:pos="0"/>
                <w:tab w:val="left" w:pos="119"/>
              </w:tabs>
              <w:spacing w:line="276" w:lineRule="auto"/>
              <w:jc w:val="both"/>
              <w:rPr>
                <w:rFonts w:ascii="GHEA Grapalat" w:hAnsi="GHEA Grapalat"/>
                <w:sz w:val="24"/>
                <w:szCs w:val="24"/>
                <w:highlight w:val="yellow"/>
                <w:lang w:eastAsia="ru-RU"/>
              </w:rPr>
            </w:pPr>
            <w:r w:rsidRPr="00A179C6">
              <w:rPr>
                <w:rFonts w:ascii="GHEA Grapalat" w:hAnsi="GHEA Grapalat"/>
                <w:sz w:val="24"/>
                <w:szCs w:val="24"/>
                <w:lang w:eastAsia="ru-RU"/>
              </w:rPr>
              <w:lastRenderedPageBreak/>
              <w:t>Չի ընդունվել</w:t>
            </w:r>
          </w:p>
        </w:tc>
        <w:tc>
          <w:tcPr>
            <w:tcW w:w="3711" w:type="dxa"/>
            <w:shd w:val="clear" w:color="auto" w:fill="auto"/>
          </w:tcPr>
          <w:p w:rsidR="00A179C6" w:rsidRPr="00A179C6" w:rsidRDefault="00A179C6" w:rsidP="00FC2A9E">
            <w:pPr>
              <w:tabs>
                <w:tab w:val="left" w:pos="119"/>
              </w:tabs>
              <w:spacing w:line="276" w:lineRule="auto"/>
              <w:jc w:val="both"/>
              <w:rPr>
                <w:rFonts w:ascii="GHEA Grapalat" w:hAnsi="GHEA Grapalat" w:cs="Sylfaen"/>
                <w:color w:val="FF0000"/>
                <w:sz w:val="24"/>
                <w:szCs w:val="24"/>
                <w:lang w:eastAsia="ru-RU"/>
              </w:rPr>
            </w:pPr>
            <w:r w:rsidRPr="00A179C6">
              <w:rPr>
                <w:rFonts w:ascii="GHEA Grapalat" w:hAnsi="GHEA Grapalat" w:cs="Sylfaen"/>
                <w:sz w:val="24"/>
                <w:szCs w:val="24"/>
                <w:lang w:eastAsia="ru-RU"/>
              </w:rPr>
              <w:t xml:space="preserve">Նպատակ ունենալով պարզեցնել համաձայնեցված հայտարարագրի միջոցով ելակետային տվյալների հավաքագրումն ու հատուցումների ստացման գործընթացը` նպատակահարմար չենք համարում  սահմանել երկկողմանի մեղավորության դեպքերը, քանի որ երկկողմանի մեղավորության </w:t>
            </w:r>
            <w:r w:rsidRPr="00A179C6">
              <w:rPr>
                <w:rFonts w:ascii="GHEA Grapalat" w:hAnsi="GHEA Grapalat" w:cs="Sylfaen"/>
                <w:sz w:val="24"/>
                <w:szCs w:val="24"/>
                <w:lang w:eastAsia="ru-RU"/>
              </w:rPr>
              <w:lastRenderedPageBreak/>
              <w:t>դեպքերը  չեն համարվում պարզ դեպքեր:  Արդյունքում` համաձայնեցված հայտարարագրի նոր ձևով</w:t>
            </w:r>
            <w:r w:rsidRPr="00A179C6">
              <w:rPr>
                <w:rFonts w:ascii="GHEA Grapalat" w:hAnsi="GHEA Grapalat" w:cs="Sylfaen"/>
                <w:color w:val="FF0000"/>
                <w:sz w:val="24"/>
                <w:szCs w:val="24"/>
                <w:lang w:eastAsia="ru-RU"/>
              </w:rPr>
              <w:t xml:space="preserve"> </w:t>
            </w:r>
          </w:p>
          <w:p w:rsidR="00A179C6" w:rsidRPr="00A179C6" w:rsidRDefault="00A179C6" w:rsidP="00FC2A9E">
            <w:pPr>
              <w:tabs>
                <w:tab w:val="left" w:pos="119"/>
              </w:tabs>
              <w:spacing w:line="276" w:lineRule="auto"/>
              <w:jc w:val="both"/>
              <w:rPr>
                <w:rFonts w:ascii="GHEA Grapalat" w:hAnsi="GHEA Grapalat" w:cs="Sylfaen"/>
                <w:sz w:val="24"/>
                <w:szCs w:val="24"/>
                <w:lang w:eastAsia="ru-RU"/>
              </w:rPr>
            </w:pPr>
            <w:r w:rsidRPr="00A179C6">
              <w:rPr>
                <w:rFonts w:ascii="GHEA Grapalat" w:hAnsi="GHEA Grapalat" w:cs="Sylfaen"/>
                <w:sz w:val="24"/>
                <w:szCs w:val="24"/>
                <w:lang w:eastAsia="ru-RU"/>
              </w:rPr>
              <w:t xml:space="preserve">հայտարարագիրը կնքվում է միայն այն պարզ դեպքերում, երբ պատահարի մասնակից են երկու վարորդ,  վարորդներից միայն մեկն է մեղավոր  և ընդունում է իր մեղավորությունը: </w:t>
            </w:r>
          </w:p>
          <w:p w:rsidR="00A179C6" w:rsidRPr="00A179C6" w:rsidRDefault="00A179C6" w:rsidP="00FC2A9E">
            <w:pPr>
              <w:tabs>
                <w:tab w:val="left" w:pos="119"/>
              </w:tabs>
              <w:spacing w:line="276" w:lineRule="auto"/>
              <w:jc w:val="both"/>
              <w:rPr>
                <w:rFonts w:ascii="GHEA Grapalat" w:hAnsi="GHEA Grapalat" w:cs="Sylfaen"/>
                <w:sz w:val="24"/>
                <w:szCs w:val="24"/>
                <w:lang w:eastAsia="ru-RU"/>
              </w:rPr>
            </w:pPr>
          </w:p>
          <w:p w:rsidR="00A179C6" w:rsidRPr="00A179C6" w:rsidRDefault="00A179C6" w:rsidP="00FC2A9E">
            <w:pPr>
              <w:tabs>
                <w:tab w:val="left" w:pos="119"/>
              </w:tabs>
              <w:spacing w:line="276" w:lineRule="auto"/>
              <w:jc w:val="both"/>
              <w:rPr>
                <w:rFonts w:ascii="GHEA Grapalat" w:hAnsi="GHEA Grapalat" w:cs="Sylfaen"/>
                <w:sz w:val="24"/>
                <w:szCs w:val="24"/>
                <w:lang w:eastAsia="ru-RU"/>
              </w:rPr>
            </w:pPr>
          </w:p>
          <w:p w:rsidR="00A179C6" w:rsidRPr="00A179C6" w:rsidRDefault="00A179C6" w:rsidP="00FC2A9E">
            <w:pPr>
              <w:tabs>
                <w:tab w:val="left" w:pos="119"/>
              </w:tabs>
              <w:spacing w:line="276" w:lineRule="auto"/>
              <w:jc w:val="both"/>
              <w:rPr>
                <w:rFonts w:ascii="GHEA Grapalat" w:hAnsi="GHEA Grapalat" w:cs="Sylfaen"/>
                <w:sz w:val="24"/>
                <w:szCs w:val="24"/>
                <w:lang w:eastAsia="ru-RU"/>
              </w:rPr>
            </w:pPr>
          </w:p>
          <w:p w:rsidR="00A179C6" w:rsidRPr="00A179C6" w:rsidRDefault="00A179C6" w:rsidP="00FC2A9E">
            <w:pPr>
              <w:tabs>
                <w:tab w:val="left" w:pos="119"/>
              </w:tabs>
              <w:spacing w:line="276" w:lineRule="auto"/>
              <w:jc w:val="both"/>
              <w:rPr>
                <w:rFonts w:ascii="GHEA Grapalat" w:hAnsi="GHEA Grapalat" w:cs="Sylfaen"/>
                <w:sz w:val="24"/>
                <w:szCs w:val="24"/>
                <w:lang w:eastAsia="ru-RU"/>
              </w:rPr>
            </w:pPr>
          </w:p>
          <w:p w:rsidR="00A179C6" w:rsidRPr="00A179C6" w:rsidRDefault="00A179C6" w:rsidP="00FC2A9E">
            <w:pPr>
              <w:tabs>
                <w:tab w:val="left" w:pos="119"/>
              </w:tabs>
              <w:spacing w:line="276" w:lineRule="auto"/>
              <w:jc w:val="both"/>
              <w:rPr>
                <w:rFonts w:ascii="GHEA Grapalat" w:hAnsi="GHEA Grapalat" w:cs="Sylfaen"/>
                <w:sz w:val="24"/>
                <w:szCs w:val="24"/>
                <w:lang w:eastAsia="ru-RU"/>
              </w:rPr>
            </w:pPr>
          </w:p>
          <w:p w:rsidR="00A179C6" w:rsidRPr="00A179C6" w:rsidRDefault="00A179C6" w:rsidP="00FC2A9E">
            <w:pPr>
              <w:tabs>
                <w:tab w:val="left" w:pos="119"/>
              </w:tabs>
              <w:spacing w:line="276" w:lineRule="auto"/>
              <w:jc w:val="both"/>
              <w:rPr>
                <w:rFonts w:ascii="GHEA Grapalat" w:hAnsi="GHEA Grapalat" w:cs="Sylfaen"/>
                <w:sz w:val="24"/>
                <w:szCs w:val="24"/>
                <w:lang w:eastAsia="ru-RU"/>
              </w:rPr>
            </w:pPr>
          </w:p>
          <w:p w:rsidR="00A179C6" w:rsidRPr="00A179C6" w:rsidRDefault="00A179C6" w:rsidP="00FC2A9E">
            <w:pPr>
              <w:tabs>
                <w:tab w:val="left" w:pos="119"/>
              </w:tabs>
              <w:spacing w:line="276" w:lineRule="auto"/>
              <w:jc w:val="both"/>
              <w:rPr>
                <w:rFonts w:ascii="GHEA Grapalat" w:hAnsi="GHEA Grapalat" w:cs="Sylfaen"/>
                <w:sz w:val="24"/>
                <w:szCs w:val="24"/>
                <w:lang w:eastAsia="ru-RU"/>
              </w:rPr>
            </w:pPr>
          </w:p>
        </w:tc>
      </w:tr>
      <w:tr w:rsidR="00A179C6" w:rsidRPr="00A179C6" w:rsidTr="00A179C6">
        <w:tc>
          <w:tcPr>
            <w:tcW w:w="2718" w:type="dxa"/>
            <w:vMerge/>
            <w:shd w:val="clear" w:color="auto" w:fill="auto"/>
          </w:tcPr>
          <w:p w:rsidR="00A179C6" w:rsidRPr="00A179C6" w:rsidRDefault="00A179C6" w:rsidP="00FC2A9E">
            <w:pPr>
              <w:rPr>
                <w:rFonts w:ascii="GHEA Grapalat" w:hAnsi="GHEA Grapalat" w:cs="Sylfaen"/>
                <w:b/>
                <w:i/>
                <w:sz w:val="24"/>
                <w:szCs w:val="24"/>
              </w:rPr>
            </w:pPr>
          </w:p>
        </w:tc>
        <w:tc>
          <w:tcPr>
            <w:tcW w:w="1890" w:type="dxa"/>
            <w:shd w:val="clear" w:color="auto" w:fill="auto"/>
          </w:tcPr>
          <w:p w:rsidR="00A179C6" w:rsidRPr="00A179C6" w:rsidRDefault="00A179C6" w:rsidP="00FC2A9E">
            <w:pPr>
              <w:spacing w:line="276" w:lineRule="auto"/>
              <w:jc w:val="center"/>
              <w:rPr>
                <w:rFonts w:ascii="GHEA Grapalat" w:hAnsi="GHEA Grapalat" w:cs="Calibri"/>
                <w:b/>
                <w:color w:val="000000"/>
                <w:sz w:val="24"/>
                <w:szCs w:val="24"/>
              </w:rPr>
            </w:pPr>
          </w:p>
        </w:tc>
        <w:tc>
          <w:tcPr>
            <w:tcW w:w="4899" w:type="dxa"/>
            <w:shd w:val="clear" w:color="auto" w:fill="auto"/>
          </w:tcPr>
          <w:p w:rsidR="00A179C6" w:rsidRPr="00A179C6" w:rsidRDefault="00A179C6" w:rsidP="00FC2A9E">
            <w:pPr>
              <w:tabs>
                <w:tab w:val="left" w:pos="119"/>
                <w:tab w:val="left" w:pos="330"/>
                <w:tab w:val="left" w:pos="522"/>
                <w:tab w:val="left" w:pos="612"/>
              </w:tabs>
              <w:spacing w:line="276" w:lineRule="auto"/>
              <w:jc w:val="both"/>
              <w:rPr>
                <w:rFonts w:ascii="GHEA Grapalat" w:hAnsi="GHEA Grapalat"/>
                <w:sz w:val="24"/>
                <w:szCs w:val="24"/>
                <w:lang w:eastAsia="ru-RU"/>
              </w:rPr>
            </w:pPr>
            <w:r w:rsidRPr="00A179C6">
              <w:rPr>
                <w:rFonts w:ascii="GHEA Grapalat" w:hAnsi="GHEA Grapalat"/>
                <w:sz w:val="24"/>
                <w:szCs w:val="24"/>
                <w:lang w:eastAsia="ru-RU"/>
              </w:rPr>
              <w:t xml:space="preserve">3. Ձև N 1-ում նախատեսել տող համաձայնեցված հայտարարագրի լրացման ամսաթիվը (օր, ամիս, տարի և ժամ) լրացնելու համար: Վերոնշյալ </w:t>
            </w:r>
            <w:r w:rsidRPr="00A179C6">
              <w:rPr>
                <w:rFonts w:ascii="GHEA Grapalat" w:hAnsi="GHEA Grapalat"/>
                <w:sz w:val="24"/>
                <w:szCs w:val="24"/>
                <w:lang w:eastAsia="ru-RU"/>
              </w:rPr>
              <w:lastRenderedPageBreak/>
              <w:t>պահանջը կնվազեցվի համաձայնեցված հայտարարագրի կեղծման ռիսկի հավանականությունը:</w:t>
            </w:r>
          </w:p>
        </w:tc>
        <w:tc>
          <w:tcPr>
            <w:tcW w:w="1712" w:type="dxa"/>
            <w:shd w:val="clear" w:color="auto" w:fill="auto"/>
          </w:tcPr>
          <w:p w:rsidR="00A179C6" w:rsidRPr="00A179C6" w:rsidRDefault="00A179C6" w:rsidP="00FC2A9E">
            <w:pPr>
              <w:tabs>
                <w:tab w:val="left" w:pos="0"/>
                <w:tab w:val="left" w:pos="119"/>
              </w:tabs>
              <w:spacing w:line="276" w:lineRule="auto"/>
              <w:jc w:val="both"/>
              <w:rPr>
                <w:rFonts w:ascii="GHEA Grapalat" w:hAnsi="GHEA Grapalat"/>
                <w:sz w:val="24"/>
                <w:szCs w:val="24"/>
                <w:lang w:eastAsia="ru-RU"/>
              </w:rPr>
            </w:pPr>
            <w:r w:rsidRPr="00A179C6">
              <w:rPr>
                <w:rFonts w:ascii="GHEA Grapalat" w:hAnsi="GHEA Grapalat"/>
                <w:sz w:val="24"/>
                <w:szCs w:val="24"/>
                <w:lang w:eastAsia="ru-RU"/>
              </w:rPr>
              <w:lastRenderedPageBreak/>
              <w:t>Չի ընդունվել</w:t>
            </w:r>
          </w:p>
        </w:tc>
        <w:tc>
          <w:tcPr>
            <w:tcW w:w="3711" w:type="dxa"/>
            <w:shd w:val="clear" w:color="auto" w:fill="auto"/>
          </w:tcPr>
          <w:p w:rsidR="00A179C6" w:rsidRPr="00A179C6" w:rsidRDefault="00A179C6" w:rsidP="00FC2A9E">
            <w:pPr>
              <w:tabs>
                <w:tab w:val="left" w:pos="119"/>
              </w:tabs>
              <w:spacing w:line="276" w:lineRule="auto"/>
              <w:jc w:val="both"/>
              <w:rPr>
                <w:rFonts w:ascii="GHEA Grapalat" w:hAnsi="GHEA Grapalat"/>
                <w:sz w:val="24"/>
                <w:szCs w:val="24"/>
                <w:lang w:eastAsia="ru-RU"/>
              </w:rPr>
            </w:pPr>
            <w:r w:rsidRPr="00A179C6">
              <w:rPr>
                <w:rFonts w:ascii="GHEA Grapalat" w:hAnsi="GHEA Grapalat"/>
                <w:sz w:val="24"/>
                <w:szCs w:val="24"/>
                <w:lang w:eastAsia="ru-RU"/>
              </w:rPr>
              <w:t xml:space="preserve">Համաձայն հայտարարագրի լրացման հրահանգի 1-ին կետի հայտարարագիրը լրացվում է երկու մասնակից –վարորդների </w:t>
            </w:r>
            <w:r w:rsidRPr="00A179C6">
              <w:rPr>
                <w:rFonts w:ascii="GHEA Grapalat" w:hAnsi="GHEA Grapalat"/>
                <w:sz w:val="24"/>
                <w:szCs w:val="24"/>
                <w:lang w:eastAsia="ru-RU"/>
              </w:rPr>
              <w:lastRenderedPageBreak/>
              <w:t>կողմից միաժամանակ` պատահարի վայրում, հետևաբար հայտարարագիրը լրացնելու համար առանձին ամսաթիվ նշելու անհրաժեշտություն չկա:</w:t>
            </w:r>
          </w:p>
        </w:tc>
      </w:tr>
      <w:tr w:rsidR="00A179C6" w:rsidRPr="00A179C6" w:rsidTr="00A179C6">
        <w:tc>
          <w:tcPr>
            <w:tcW w:w="2718" w:type="dxa"/>
            <w:shd w:val="clear" w:color="auto" w:fill="auto"/>
          </w:tcPr>
          <w:p w:rsidR="00A179C6" w:rsidRPr="00A179C6" w:rsidRDefault="00A179C6" w:rsidP="00FC2A9E">
            <w:pPr>
              <w:rPr>
                <w:rFonts w:ascii="GHEA Grapalat" w:hAnsi="GHEA Grapalat" w:cs="Sylfaen"/>
                <w:b/>
                <w:i/>
                <w:sz w:val="24"/>
                <w:szCs w:val="24"/>
              </w:rPr>
            </w:pPr>
            <w:r w:rsidRPr="00A179C6">
              <w:rPr>
                <w:rFonts w:ascii="GHEA Grapalat" w:hAnsi="GHEA Grapalat" w:cs="Sylfaen"/>
                <w:b/>
                <w:i/>
                <w:sz w:val="24"/>
                <w:szCs w:val="24"/>
              </w:rPr>
              <w:lastRenderedPageBreak/>
              <w:t>ՀՀ Ոստիկանություն</w:t>
            </w:r>
          </w:p>
          <w:p w:rsidR="00A179C6" w:rsidRPr="00A179C6" w:rsidRDefault="00A179C6" w:rsidP="00FC2A9E">
            <w:pPr>
              <w:rPr>
                <w:rFonts w:ascii="GHEA Grapalat" w:hAnsi="GHEA Grapalat" w:cs="Sylfaen"/>
                <w:b/>
                <w:i/>
              </w:rPr>
            </w:pPr>
          </w:p>
        </w:tc>
        <w:tc>
          <w:tcPr>
            <w:tcW w:w="1890" w:type="dxa"/>
            <w:shd w:val="clear" w:color="auto" w:fill="auto"/>
          </w:tcPr>
          <w:p w:rsidR="00A179C6" w:rsidRPr="00A179C6" w:rsidRDefault="00A179C6" w:rsidP="00FC2A9E">
            <w:pPr>
              <w:spacing w:line="276" w:lineRule="auto"/>
              <w:jc w:val="center"/>
              <w:rPr>
                <w:rFonts w:ascii="GHEA Grapalat" w:hAnsi="GHEA Grapalat" w:cs="Calibri"/>
                <w:b/>
                <w:color w:val="000000"/>
                <w:sz w:val="24"/>
                <w:szCs w:val="24"/>
              </w:rPr>
            </w:pPr>
            <w:r w:rsidRPr="00A179C6">
              <w:rPr>
                <w:rFonts w:ascii="GHEA Grapalat" w:hAnsi="GHEA Grapalat" w:cs="Calibri"/>
                <w:b/>
                <w:color w:val="000000"/>
                <w:sz w:val="24"/>
                <w:szCs w:val="24"/>
              </w:rPr>
              <w:t>11.12.2015թ</w:t>
            </w:r>
          </w:p>
          <w:p w:rsidR="00A179C6" w:rsidRPr="00A179C6" w:rsidRDefault="00A179C6" w:rsidP="00FC2A9E">
            <w:pPr>
              <w:spacing w:line="276" w:lineRule="auto"/>
              <w:jc w:val="center"/>
              <w:rPr>
                <w:rFonts w:ascii="GHEA Grapalat" w:hAnsi="GHEA Grapalat" w:cs="Calibri"/>
                <w:b/>
                <w:color w:val="000000"/>
                <w:sz w:val="24"/>
                <w:szCs w:val="24"/>
              </w:rPr>
            </w:pPr>
            <w:r w:rsidRPr="00A179C6">
              <w:rPr>
                <w:rFonts w:ascii="GHEA Grapalat" w:hAnsi="GHEA Grapalat" w:cs="Calibri"/>
                <w:b/>
                <w:color w:val="000000"/>
                <w:sz w:val="24"/>
                <w:szCs w:val="24"/>
              </w:rPr>
              <w:t xml:space="preserve"> </w:t>
            </w:r>
          </w:p>
          <w:p w:rsidR="00A179C6" w:rsidRPr="00A179C6" w:rsidRDefault="00A179C6" w:rsidP="00FC2A9E">
            <w:pPr>
              <w:spacing w:line="276" w:lineRule="auto"/>
              <w:jc w:val="center"/>
              <w:rPr>
                <w:rFonts w:ascii="GHEA Grapalat" w:hAnsi="GHEA Grapalat" w:cs="Calibri"/>
                <w:b/>
                <w:color w:val="000000"/>
                <w:sz w:val="24"/>
                <w:szCs w:val="24"/>
              </w:rPr>
            </w:pPr>
            <w:r w:rsidRPr="00A179C6">
              <w:rPr>
                <w:rFonts w:ascii="GHEA Grapalat" w:hAnsi="GHEA Grapalat" w:cs="Calibri"/>
                <w:b/>
                <w:color w:val="000000"/>
                <w:sz w:val="24"/>
                <w:szCs w:val="24"/>
              </w:rPr>
              <w:t>N 24/3597</w:t>
            </w:r>
          </w:p>
        </w:tc>
        <w:tc>
          <w:tcPr>
            <w:tcW w:w="4899" w:type="dxa"/>
            <w:shd w:val="clear" w:color="auto" w:fill="auto"/>
          </w:tcPr>
          <w:p w:rsidR="00A179C6" w:rsidRPr="00A179C6" w:rsidRDefault="00A179C6" w:rsidP="00FC2A9E">
            <w:pPr>
              <w:tabs>
                <w:tab w:val="left" w:pos="119"/>
                <w:tab w:val="left" w:pos="330"/>
                <w:tab w:val="left" w:pos="522"/>
                <w:tab w:val="left" w:pos="612"/>
              </w:tabs>
              <w:spacing w:line="276" w:lineRule="auto"/>
              <w:jc w:val="both"/>
              <w:rPr>
                <w:rFonts w:ascii="GHEA Grapalat" w:hAnsi="GHEA Grapalat"/>
                <w:sz w:val="24"/>
                <w:szCs w:val="24"/>
                <w:lang w:eastAsia="ru-RU"/>
              </w:rPr>
            </w:pPr>
          </w:p>
        </w:tc>
        <w:tc>
          <w:tcPr>
            <w:tcW w:w="1712" w:type="dxa"/>
            <w:shd w:val="clear" w:color="auto" w:fill="auto"/>
          </w:tcPr>
          <w:p w:rsidR="00A179C6" w:rsidRPr="00A179C6" w:rsidRDefault="00A179C6" w:rsidP="00FC2A9E">
            <w:pPr>
              <w:tabs>
                <w:tab w:val="left" w:pos="0"/>
                <w:tab w:val="left" w:pos="119"/>
              </w:tabs>
              <w:spacing w:line="276" w:lineRule="auto"/>
              <w:jc w:val="both"/>
              <w:rPr>
                <w:rFonts w:ascii="GHEA Grapalat" w:hAnsi="GHEA Grapalat"/>
                <w:sz w:val="24"/>
                <w:szCs w:val="24"/>
                <w:lang w:eastAsia="ru-RU"/>
              </w:rPr>
            </w:pPr>
          </w:p>
        </w:tc>
        <w:tc>
          <w:tcPr>
            <w:tcW w:w="3711" w:type="dxa"/>
            <w:shd w:val="clear" w:color="auto" w:fill="auto"/>
          </w:tcPr>
          <w:p w:rsidR="00A179C6" w:rsidRPr="00A179C6" w:rsidRDefault="00A179C6" w:rsidP="00FC2A9E">
            <w:pPr>
              <w:tabs>
                <w:tab w:val="left" w:pos="119"/>
              </w:tabs>
              <w:spacing w:line="276" w:lineRule="auto"/>
              <w:jc w:val="both"/>
              <w:rPr>
                <w:rFonts w:ascii="GHEA Grapalat" w:hAnsi="GHEA Grapalat"/>
                <w:sz w:val="24"/>
                <w:szCs w:val="24"/>
                <w:lang w:eastAsia="ru-RU"/>
              </w:rPr>
            </w:pPr>
          </w:p>
        </w:tc>
      </w:tr>
      <w:tr w:rsidR="00A179C6" w:rsidRPr="00A179C6" w:rsidTr="00A179C6">
        <w:tc>
          <w:tcPr>
            <w:tcW w:w="2718" w:type="dxa"/>
            <w:shd w:val="clear" w:color="auto" w:fill="auto"/>
          </w:tcPr>
          <w:p w:rsidR="00A179C6" w:rsidRPr="00A179C6" w:rsidRDefault="00A179C6" w:rsidP="00FC2A9E">
            <w:pPr>
              <w:rPr>
                <w:rFonts w:ascii="GHEA Grapalat" w:hAnsi="GHEA Grapalat" w:cs="Sylfaen"/>
                <w:b/>
                <w:i/>
                <w:sz w:val="24"/>
                <w:szCs w:val="24"/>
              </w:rPr>
            </w:pPr>
            <w:r w:rsidRPr="00A179C6">
              <w:rPr>
                <w:rFonts w:ascii="GHEA Grapalat" w:hAnsi="GHEA Grapalat" w:cs="Sylfaen"/>
                <w:b/>
                <w:i/>
                <w:sz w:val="24"/>
                <w:szCs w:val="24"/>
              </w:rPr>
              <w:t>ՀՀ Արդարադատության նախարարություն</w:t>
            </w:r>
          </w:p>
        </w:tc>
        <w:tc>
          <w:tcPr>
            <w:tcW w:w="1890" w:type="dxa"/>
            <w:shd w:val="clear" w:color="auto" w:fill="auto"/>
          </w:tcPr>
          <w:p w:rsidR="00A179C6" w:rsidRPr="00A179C6" w:rsidRDefault="00A179C6" w:rsidP="00FC2A9E">
            <w:pPr>
              <w:spacing w:line="276" w:lineRule="auto"/>
              <w:jc w:val="center"/>
              <w:rPr>
                <w:rFonts w:ascii="GHEA Grapalat" w:hAnsi="GHEA Grapalat" w:cs="Calibri"/>
                <w:b/>
                <w:sz w:val="24"/>
                <w:szCs w:val="24"/>
              </w:rPr>
            </w:pPr>
            <w:r w:rsidRPr="00A179C6">
              <w:rPr>
                <w:rFonts w:ascii="GHEA Grapalat" w:hAnsi="GHEA Grapalat" w:cs="Calibri"/>
                <w:b/>
                <w:sz w:val="24"/>
                <w:szCs w:val="24"/>
              </w:rPr>
              <w:t>19.01.2016</w:t>
            </w:r>
          </w:p>
          <w:p w:rsidR="00A179C6" w:rsidRPr="00A179C6" w:rsidRDefault="00A179C6" w:rsidP="00FC2A9E">
            <w:pPr>
              <w:spacing w:line="276" w:lineRule="auto"/>
              <w:jc w:val="center"/>
              <w:rPr>
                <w:rFonts w:ascii="GHEA Grapalat" w:hAnsi="GHEA Grapalat" w:cs="Calibri"/>
                <w:b/>
                <w:sz w:val="24"/>
                <w:szCs w:val="24"/>
              </w:rPr>
            </w:pPr>
          </w:p>
          <w:p w:rsidR="00A179C6" w:rsidRPr="00A179C6" w:rsidRDefault="00A179C6" w:rsidP="00FC2A9E">
            <w:pPr>
              <w:spacing w:line="276" w:lineRule="auto"/>
              <w:jc w:val="center"/>
              <w:rPr>
                <w:rFonts w:ascii="GHEA Grapalat" w:hAnsi="GHEA Grapalat" w:cs="Calibri"/>
                <w:b/>
                <w:sz w:val="24"/>
                <w:szCs w:val="24"/>
              </w:rPr>
            </w:pPr>
            <w:r w:rsidRPr="00A179C6">
              <w:rPr>
                <w:rFonts w:ascii="GHEA Grapalat" w:hAnsi="GHEA Grapalat" w:cs="Calibri"/>
                <w:b/>
                <w:sz w:val="24"/>
                <w:szCs w:val="24"/>
              </w:rPr>
              <w:t>N 01-14-333-16</w:t>
            </w:r>
          </w:p>
          <w:p w:rsidR="00A179C6" w:rsidRPr="00A179C6" w:rsidRDefault="00A179C6" w:rsidP="00FC2A9E">
            <w:pPr>
              <w:spacing w:line="276" w:lineRule="auto"/>
              <w:jc w:val="center"/>
              <w:rPr>
                <w:rFonts w:ascii="GHEA Grapalat" w:hAnsi="GHEA Grapalat" w:cs="Calibri"/>
                <w:b/>
                <w:color w:val="000000"/>
                <w:sz w:val="24"/>
                <w:szCs w:val="24"/>
              </w:rPr>
            </w:pPr>
          </w:p>
        </w:tc>
        <w:tc>
          <w:tcPr>
            <w:tcW w:w="4899" w:type="dxa"/>
            <w:shd w:val="clear" w:color="auto" w:fill="auto"/>
          </w:tcPr>
          <w:p w:rsidR="00A179C6" w:rsidRPr="00A179C6" w:rsidRDefault="00A179C6" w:rsidP="00A179C6">
            <w:pPr>
              <w:numPr>
                <w:ilvl w:val="0"/>
                <w:numId w:val="1"/>
              </w:numPr>
              <w:tabs>
                <w:tab w:val="left" w:pos="252"/>
                <w:tab w:val="left" w:pos="330"/>
                <w:tab w:val="left" w:pos="522"/>
                <w:tab w:val="left" w:pos="612"/>
              </w:tabs>
              <w:spacing w:line="276" w:lineRule="auto"/>
              <w:ind w:left="72"/>
              <w:jc w:val="both"/>
              <w:rPr>
                <w:rFonts w:ascii="GHEA Grapalat" w:hAnsi="GHEA Grapalat"/>
                <w:sz w:val="24"/>
                <w:szCs w:val="24"/>
                <w:lang w:eastAsia="ru-RU"/>
              </w:rPr>
            </w:pPr>
            <w:r w:rsidRPr="00A179C6">
              <w:rPr>
                <w:rFonts w:ascii="GHEA Grapalat" w:hAnsi="GHEA Grapalat"/>
                <w:sz w:val="24"/>
                <w:szCs w:val="24"/>
                <w:lang w:eastAsia="ru-RU"/>
              </w:rPr>
              <w:t>1. Նախագծի նախաբանում անհրաժեշտ է հղում կատարել «Ավտոտրանսպորտային միջոցների օգտագործումից բխող պատասխանատվության պարտադիր ապահովագրության մասին» Հայաստանի Հանրապետության օրենքի 5-րդ հոդվածի 6-րդ մասին` նկատի ունենալով «Իրավական ակտերի մասին» Հայաստանի Հանրապետության օրենքի 43-րդ հոդվածի 3-րդ մասի պահանջները:</w:t>
            </w:r>
          </w:p>
        </w:tc>
        <w:tc>
          <w:tcPr>
            <w:tcW w:w="1712" w:type="dxa"/>
            <w:shd w:val="clear" w:color="auto" w:fill="auto"/>
          </w:tcPr>
          <w:p w:rsidR="00A179C6" w:rsidRPr="00A179C6" w:rsidRDefault="00A179C6" w:rsidP="00FC2A9E">
            <w:pPr>
              <w:tabs>
                <w:tab w:val="left" w:pos="0"/>
                <w:tab w:val="left" w:pos="119"/>
              </w:tabs>
              <w:spacing w:line="276" w:lineRule="auto"/>
              <w:jc w:val="both"/>
              <w:rPr>
                <w:rFonts w:ascii="GHEA Grapalat" w:hAnsi="GHEA Grapalat"/>
                <w:sz w:val="24"/>
                <w:szCs w:val="24"/>
                <w:lang w:eastAsia="ru-RU"/>
              </w:rPr>
            </w:pPr>
            <w:r w:rsidRPr="00A179C6">
              <w:rPr>
                <w:rFonts w:ascii="GHEA Grapalat" w:hAnsi="GHEA Grapalat"/>
                <w:sz w:val="24"/>
                <w:szCs w:val="24"/>
                <w:lang w:eastAsia="ru-RU"/>
              </w:rPr>
              <w:t>Ընդունվել է</w:t>
            </w:r>
          </w:p>
        </w:tc>
        <w:tc>
          <w:tcPr>
            <w:tcW w:w="3711" w:type="dxa"/>
            <w:shd w:val="clear" w:color="auto" w:fill="auto"/>
          </w:tcPr>
          <w:p w:rsidR="00A179C6" w:rsidRPr="00A179C6" w:rsidRDefault="00A179C6" w:rsidP="00FC2A9E">
            <w:pPr>
              <w:tabs>
                <w:tab w:val="left" w:pos="119"/>
              </w:tabs>
              <w:spacing w:line="276" w:lineRule="auto"/>
              <w:jc w:val="both"/>
              <w:rPr>
                <w:rFonts w:ascii="GHEA Grapalat" w:hAnsi="GHEA Grapalat"/>
                <w:sz w:val="24"/>
                <w:szCs w:val="24"/>
                <w:lang w:eastAsia="ru-RU"/>
              </w:rPr>
            </w:pPr>
            <w:r w:rsidRPr="00A179C6">
              <w:rPr>
                <w:rFonts w:ascii="GHEA Grapalat" w:hAnsi="GHEA Grapalat"/>
                <w:sz w:val="24"/>
                <w:szCs w:val="24"/>
                <w:lang w:eastAsia="ru-RU"/>
              </w:rPr>
              <w:t>Կատարվել է համապատասխան փոփոխություն:</w:t>
            </w:r>
          </w:p>
        </w:tc>
      </w:tr>
      <w:tr w:rsidR="00A179C6" w:rsidRPr="00A179C6" w:rsidTr="00A179C6">
        <w:tc>
          <w:tcPr>
            <w:tcW w:w="2718" w:type="dxa"/>
            <w:shd w:val="clear" w:color="auto" w:fill="auto"/>
          </w:tcPr>
          <w:p w:rsidR="00A179C6" w:rsidRPr="00A179C6" w:rsidRDefault="00A179C6" w:rsidP="00FC2A9E">
            <w:pPr>
              <w:rPr>
                <w:rFonts w:ascii="GHEA Grapalat" w:hAnsi="GHEA Grapalat" w:cs="Sylfaen"/>
                <w:b/>
                <w:i/>
                <w:sz w:val="24"/>
                <w:szCs w:val="24"/>
              </w:rPr>
            </w:pPr>
          </w:p>
        </w:tc>
        <w:tc>
          <w:tcPr>
            <w:tcW w:w="1890" w:type="dxa"/>
            <w:shd w:val="clear" w:color="auto" w:fill="auto"/>
          </w:tcPr>
          <w:p w:rsidR="00A179C6" w:rsidRPr="00A179C6" w:rsidRDefault="00A179C6" w:rsidP="00FC2A9E">
            <w:pPr>
              <w:spacing w:line="276" w:lineRule="auto"/>
              <w:jc w:val="center"/>
              <w:rPr>
                <w:rFonts w:ascii="GHEA Grapalat" w:hAnsi="GHEA Grapalat" w:cs="Calibri"/>
                <w:b/>
                <w:sz w:val="24"/>
                <w:szCs w:val="24"/>
              </w:rPr>
            </w:pPr>
          </w:p>
        </w:tc>
        <w:tc>
          <w:tcPr>
            <w:tcW w:w="4899" w:type="dxa"/>
            <w:shd w:val="clear" w:color="auto" w:fill="auto"/>
          </w:tcPr>
          <w:p w:rsidR="00A179C6" w:rsidRPr="00A179C6" w:rsidRDefault="00A179C6" w:rsidP="00A179C6">
            <w:pPr>
              <w:numPr>
                <w:ilvl w:val="0"/>
                <w:numId w:val="1"/>
              </w:numPr>
              <w:tabs>
                <w:tab w:val="left" w:pos="72"/>
                <w:tab w:val="left" w:pos="119"/>
                <w:tab w:val="left" w:pos="330"/>
              </w:tabs>
              <w:spacing w:line="276" w:lineRule="auto"/>
              <w:ind w:left="72"/>
              <w:jc w:val="both"/>
              <w:rPr>
                <w:rFonts w:ascii="GHEA Grapalat" w:hAnsi="GHEA Grapalat"/>
                <w:sz w:val="24"/>
                <w:szCs w:val="24"/>
                <w:lang w:eastAsia="ru-RU"/>
              </w:rPr>
            </w:pPr>
            <w:r w:rsidRPr="00A179C6">
              <w:rPr>
                <w:rFonts w:ascii="GHEA Grapalat" w:hAnsi="GHEA Grapalat"/>
                <w:sz w:val="24"/>
                <w:szCs w:val="24"/>
                <w:lang w:eastAsia="ru-RU"/>
              </w:rPr>
              <w:t>2. Նախագծի վերնագրից առաջ և հավելվածի վերևի աջ անկյունում նշվող «2015» թիվն անհրաժեշտ է փոխարինել «2016» թվով:</w:t>
            </w:r>
          </w:p>
        </w:tc>
        <w:tc>
          <w:tcPr>
            <w:tcW w:w="1712" w:type="dxa"/>
            <w:shd w:val="clear" w:color="auto" w:fill="auto"/>
          </w:tcPr>
          <w:p w:rsidR="00A179C6" w:rsidRPr="00A179C6" w:rsidRDefault="00A179C6" w:rsidP="00FC2A9E">
            <w:pPr>
              <w:tabs>
                <w:tab w:val="left" w:pos="0"/>
                <w:tab w:val="left" w:pos="119"/>
              </w:tabs>
              <w:spacing w:line="276" w:lineRule="auto"/>
              <w:jc w:val="both"/>
              <w:rPr>
                <w:rFonts w:ascii="GHEA Grapalat" w:hAnsi="GHEA Grapalat"/>
                <w:sz w:val="24"/>
                <w:szCs w:val="24"/>
                <w:lang w:eastAsia="ru-RU"/>
              </w:rPr>
            </w:pPr>
            <w:r w:rsidRPr="00A179C6">
              <w:rPr>
                <w:rFonts w:ascii="GHEA Grapalat" w:hAnsi="GHEA Grapalat"/>
                <w:sz w:val="24"/>
                <w:szCs w:val="24"/>
                <w:lang w:eastAsia="ru-RU"/>
              </w:rPr>
              <w:t>Ընդունվել է</w:t>
            </w:r>
          </w:p>
        </w:tc>
        <w:tc>
          <w:tcPr>
            <w:tcW w:w="3711" w:type="dxa"/>
            <w:shd w:val="clear" w:color="auto" w:fill="auto"/>
          </w:tcPr>
          <w:p w:rsidR="00A179C6" w:rsidRPr="00A179C6" w:rsidRDefault="00A179C6" w:rsidP="00FC2A9E">
            <w:pPr>
              <w:tabs>
                <w:tab w:val="left" w:pos="119"/>
              </w:tabs>
              <w:spacing w:line="276" w:lineRule="auto"/>
              <w:jc w:val="both"/>
              <w:rPr>
                <w:rFonts w:ascii="GHEA Grapalat" w:hAnsi="GHEA Grapalat"/>
                <w:sz w:val="24"/>
                <w:szCs w:val="24"/>
                <w:lang w:eastAsia="ru-RU"/>
              </w:rPr>
            </w:pPr>
            <w:r w:rsidRPr="00A179C6">
              <w:rPr>
                <w:rFonts w:ascii="GHEA Grapalat" w:hAnsi="GHEA Grapalat"/>
                <w:sz w:val="24"/>
                <w:szCs w:val="24"/>
                <w:lang w:eastAsia="ru-RU"/>
              </w:rPr>
              <w:t>Կատարվել է համապատասխան փոփոխություն:</w:t>
            </w:r>
          </w:p>
        </w:tc>
      </w:tr>
    </w:tbl>
    <w:p w:rsidR="00423A23" w:rsidRPr="00A179C6" w:rsidRDefault="00423A23" w:rsidP="00A179C6">
      <w:pPr>
        <w:rPr>
          <w:rFonts w:ascii="GHEA Grapalat" w:hAnsi="GHEA Grapalat"/>
        </w:rPr>
      </w:pPr>
    </w:p>
    <w:sectPr w:rsidR="00423A23" w:rsidRPr="00A179C6" w:rsidSect="00A179C6">
      <w:pgSz w:w="15840" w:h="12240" w:orient="landscape"/>
      <w:pgMar w:top="144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41012"/>
    <w:multiLevelType w:val="hybridMultilevel"/>
    <w:tmpl w:val="17EE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00"/>
  <w:displayHorizontalDrawingGridEvery w:val="2"/>
  <w:characterSpacingControl w:val="doNotCompress"/>
  <w:compat/>
  <w:rsids>
    <w:rsidRoot w:val="00A179C6"/>
    <w:rsid w:val="00423A23"/>
    <w:rsid w:val="00A179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9C6"/>
    <w:pPr>
      <w:spacing w:after="0" w:line="240" w:lineRule="auto"/>
    </w:pPr>
    <w:rPr>
      <w:rFonts w:ascii="Arial Armenian" w:eastAsia="Times New Roman" w:hAnsi="Arial Armeni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KnarikS</dc:creator>
  <cp:keywords/>
  <dc:description/>
  <cp:lastModifiedBy>KnarikS</cp:lastModifiedBy>
  <cp:revision>2</cp:revision>
  <dcterms:created xsi:type="dcterms:W3CDTF">2016-02-04T14:11:00Z</dcterms:created>
  <dcterms:modified xsi:type="dcterms:W3CDTF">2016-02-04T14:12:00Z</dcterms:modified>
</cp:coreProperties>
</file>