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4C" w:rsidRPr="004C5DEF" w:rsidRDefault="00204346" w:rsidP="004C5DEF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de-DE"/>
        </w:rPr>
      </w:pPr>
      <w:r w:rsidRPr="004C5DEF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EB194C" w:rsidRPr="004C5DEF">
        <w:rPr>
          <w:rFonts w:ascii="GHEA Grapalat" w:hAnsi="GHEA Grapalat" w:cs="Sylfaen"/>
          <w:b/>
          <w:sz w:val="24"/>
          <w:szCs w:val="24"/>
          <w:lang w:val="de-DE"/>
        </w:rPr>
        <w:t>ԱՄՓՈՓԱԹԵՐԹ</w:t>
      </w:r>
    </w:p>
    <w:p w:rsidR="00F0479C" w:rsidRPr="004C5DEF" w:rsidRDefault="00F0479C" w:rsidP="004C5DEF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af-ZA"/>
        </w:rPr>
      </w:pPr>
      <w:r w:rsidRPr="004C5DEF">
        <w:rPr>
          <w:rFonts w:ascii="GHEA Grapalat" w:eastAsia="Calibri" w:hAnsi="GHEA Grapalat" w:cs="Sylfaen"/>
          <w:b/>
          <w:sz w:val="24"/>
          <w:szCs w:val="24"/>
          <w:lang w:val="af-ZA"/>
        </w:rPr>
        <w:t>«</w:t>
      </w:r>
      <w:r w:rsidR="008F0748" w:rsidRPr="004C5DEF">
        <w:rPr>
          <w:rFonts w:ascii="GHEA Grapalat" w:hAnsi="GHEA Grapalat"/>
          <w:b/>
          <w:sz w:val="24"/>
          <w:szCs w:val="24"/>
          <w:lang w:val="hy-AM"/>
        </w:rPr>
        <w:t>Նշված ոլորտում Եվրասիական տնտեսական միության անդամ պետությունների օրենսդրության ներդաշնակեցման նպատակով՝ Եվրասիական տնտեսական միության տեխնիկական կանոնակարգերի պահանջների պահպանման նկատմամբ պետական հսկողություն (վերահսկողություն) իրականացնելու սկզբունքների ու մոտեցումների մասին</w:t>
      </w:r>
      <w:r w:rsidRPr="004C5DEF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» </w:t>
      </w:r>
      <w:r w:rsidR="008F0748" w:rsidRPr="004C5DEF">
        <w:rPr>
          <w:rFonts w:ascii="GHEA Grapalat" w:eastAsia="Calibri" w:hAnsi="GHEA Grapalat" w:cs="Sylfaen"/>
          <w:b/>
          <w:sz w:val="24"/>
          <w:szCs w:val="24"/>
          <w:lang w:val="hy-AM"/>
        </w:rPr>
        <w:t>համաձայնագրի</w:t>
      </w:r>
      <w:r w:rsidRPr="004C5DEF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4C5DEF">
        <w:rPr>
          <w:rFonts w:ascii="GHEA Grapalat" w:eastAsia="Calibri" w:hAnsi="GHEA Grapalat" w:cs="Sylfaen"/>
          <w:b/>
          <w:sz w:val="24"/>
          <w:szCs w:val="24"/>
          <w:lang w:val="af-ZA"/>
        </w:rPr>
        <w:t>նախագծի</w:t>
      </w:r>
      <w:r w:rsidRPr="004C5DEF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4C5DEF">
        <w:rPr>
          <w:rFonts w:ascii="GHEA Grapalat" w:eastAsia="Calibri" w:hAnsi="GHEA Grapalat" w:cs="Sylfaen"/>
          <w:b/>
          <w:sz w:val="24"/>
          <w:szCs w:val="24"/>
          <w:lang w:val="af-ZA"/>
        </w:rPr>
        <w:t>վերաբերյալ</w:t>
      </w:r>
      <w:r w:rsidRPr="004C5DEF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4C5DEF">
        <w:rPr>
          <w:rFonts w:ascii="GHEA Grapalat" w:eastAsia="Calibri" w:hAnsi="GHEA Grapalat" w:cs="Sylfaen"/>
          <w:b/>
          <w:sz w:val="24"/>
          <w:szCs w:val="24"/>
          <w:lang w:val="af-ZA"/>
        </w:rPr>
        <w:t>շահագրգիռ</w:t>
      </w:r>
      <w:r w:rsidRPr="004C5DEF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4C5DEF">
        <w:rPr>
          <w:rFonts w:ascii="GHEA Grapalat" w:eastAsia="Calibri" w:hAnsi="GHEA Grapalat" w:cs="Sylfaen"/>
          <w:b/>
          <w:sz w:val="24"/>
          <w:szCs w:val="24"/>
          <w:lang w:val="af-ZA"/>
        </w:rPr>
        <w:t>մարմինների</w:t>
      </w:r>
    </w:p>
    <w:p w:rsidR="00F0479C" w:rsidRPr="004C5DEF" w:rsidRDefault="00F0479C" w:rsidP="004C5DEF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C5DEF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4C5DEF">
        <w:rPr>
          <w:rFonts w:ascii="GHEA Grapalat" w:eastAsia="Calibri" w:hAnsi="GHEA Grapalat" w:cs="Sylfaen"/>
          <w:b/>
          <w:sz w:val="24"/>
          <w:szCs w:val="24"/>
          <w:lang w:val="af-ZA"/>
        </w:rPr>
        <w:t>առարկությունների</w:t>
      </w:r>
      <w:r w:rsidRPr="004C5DEF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4C5DEF">
        <w:rPr>
          <w:rFonts w:ascii="GHEA Grapalat" w:eastAsia="Calibri" w:hAnsi="GHEA Grapalat" w:cs="Sylfaen"/>
          <w:b/>
          <w:sz w:val="24"/>
          <w:szCs w:val="24"/>
          <w:lang w:val="af-ZA"/>
        </w:rPr>
        <w:t>և</w:t>
      </w:r>
      <w:r w:rsidRPr="004C5DEF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4C5DEF">
        <w:rPr>
          <w:rFonts w:ascii="GHEA Grapalat" w:eastAsia="Calibri" w:hAnsi="GHEA Grapalat" w:cs="Sylfaen"/>
          <w:b/>
          <w:sz w:val="24"/>
          <w:szCs w:val="24"/>
          <w:lang w:val="af-ZA"/>
        </w:rPr>
        <w:t>առաջարկությունների</w:t>
      </w:r>
      <w:r w:rsidR="008F0748" w:rsidRPr="004C5DE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A30ACE" w:rsidRPr="004C5DE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071211" w:rsidRPr="004C5DEF" w:rsidRDefault="00071211" w:rsidP="004C5DEF">
      <w:pPr>
        <w:spacing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3201"/>
        <w:gridCol w:w="4878"/>
        <w:gridCol w:w="2420"/>
        <w:gridCol w:w="3086"/>
      </w:tblGrid>
      <w:tr w:rsidR="00AD0294" w:rsidRPr="004C5DEF" w:rsidTr="00840CC3">
        <w:tc>
          <w:tcPr>
            <w:tcW w:w="3227" w:type="dxa"/>
          </w:tcPr>
          <w:p w:rsidR="00071211" w:rsidRPr="004C5DEF" w:rsidRDefault="00EB194C" w:rsidP="004C5DE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11AD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Առարկության և</w:t>
            </w:r>
            <w:r w:rsidRPr="00511AD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11AD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 հեղինակները, ստացման ամսաթիվը, մուտքի համարը</w:t>
            </w:r>
          </w:p>
        </w:tc>
        <w:tc>
          <w:tcPr>
            <w:tcW w:w="5002" w:type="dxa"/>
          </w:tcPr>
          <w:p w:rsidR="00071211" w:rsidRPr="004C5DEF" w:rsidRDefault="00EB194C" w:rsidP="004C5DE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Առարկության և</w:t>
            </w:r>
            <w:r w:rsidRPr="004C5DEF">
              <w:rPr>
                <w:rFonts w:ascii="GHEA Grapalat" w:hAnsi="GHEA Grapalat"/>
                <w:b/>
                <w:sz w:val="24"/>
                <w:szCs w:val="24"/>
                <w:lang w:val="de-DE"/>
              </w:rPr>
              <w:t xml:space="preserve"> </w:t>
            </w:r>
            <w:r w:rsidRPr="004C5DEF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առաջարկության բովանդակությունը</w:t>
            </w:r>
          </w:p>
        </w:tc>
        <w:tc>
          <w:tcPr>
            <w:tcW w:w="2440" w:type="dxa"/>
          </w:tcPr>
          <w:p w:rsidR="00071211" w:rsidRPr="004C5DEF" w:rsidRDefault="00EB194C" w:rsidP="004C5DE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Եզրակացություն</w:t>
            </w:r>
          </w:p>
        </w:tc>
        <w:tc>
          <w:tcPr>
            <w:tcW w:w="2916" w:type="dxa"/>
          </w:tcPr>
          <w:p w:rsidR="00071211" w:rsidRPr="004C5DEF" w:rsidRDefault="00EB194C" w:rsidP="004C5DE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Կատարված փոփոխությունը</w:t>
            </w:r>
          </w:p>
        </w:tc>
      </w:tr>
      <w:tr w:rsidR="00AD0294" w:rsidRPr="004C5DEF" w:rsidTr="00840CC3">
        <w:tc>
          <w:tcPr>
            <w:tcW w:w="3227" w:type="dxa"/>
          </w:tcPr>
          <w:p w:rsidR="00071211" w:rsidRPr="004C5DEF" w:rsidRDefault="00EB194C" w:rsidP="004C5DE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4C5DEF">
              <w:rPr>
                <w:rFonts w:ascii="GHEA Grapalat" w:hAnsi="GHEA Grapalat"/>
                <w:b/>
                <w:sz w:val="24"/>
                <w:szCs w:val="24"/>
              </w:rPr>
              <w:t>1</w:t>
            </w:r>
            <w:r w:rsidR="00FE3DF5" w:rsidRPr="004C5DEF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5002" w:type="dxa"/>
          </w:tcPr>
          <w:p w:rsidR="00071211" w:rsidRPr="004C5DEF" w:rsidRDefault="00EB194C" w:rsidP="004C5DE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4C5DEF">
              <w:rPr>
                <w:rFonts w:ascii="GHEA Grapalat" w:hAnsi="GHEA Grapalat"/>
                <w:b/>
                <w:sz w:val="24"/>
                <w:szCs w:val="24"/>
              </w:rPr>
              <w:t>2</w:t>
            </w:r>
            <w:r w:rsidR="00FE3DF5" w:rsidRPr="004C5DEF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:rsidR="00071211" w:rsidRPr="004C5DEF" w:rsidRDefault="00EB194C" w:rsidP="004C5DE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4C5DEF">
              <w:rPr>
                <w:rFonts w:ascii="GHEA Grapalat" w:hAnsi="GHEA Grapalat"/>
                <w:b/>
                <w:sz w:val="24"/>
                <w:szCs w:val="24"/>
              </w:rPr>
              <w:t>3</w:t>
            </w:r>
            <w:r w:rsidR="00FE3DF5" w:rsidRPr="004C5DEF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071211" w:rsidRPr="004C5DEF" w:rsidRDefault="00EB194C" w:rsidP="004C5DE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4C5DEF">
              <w:rPr>
                <w:rFonts w:ascii="GHEA Grapalat" w:hAnsi="GHEA Grapalat"/>
                <w:b/>
                <w:sz w:val="24"/>
                <w:szCs w:val="24"/>
              </w:rPr>
              <w:t>4</w:t>
            </w:r>
            <w:r w:rsidR="00FE3DF5" w:rsidRPr="004C5DEF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AD0294" w:rsidRPr="004C5DEF" w:rsidTr="00840CC3">
        <w:tc>
          <w:tcPr>
            <w:tcW w:w="3227" w:type="dxa"/>
          </w:tcPr>
          <w:p w:rsidR="00840CC3" w:rsidRPr="004C5DEF" w:rsidRDefault="00840CC3" w:rsidP="004C5DE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Sylfaen"/>
                <w:sz w:val="24"/>
                <w:szCs w:val="24"/>
                <w:lang w:val="de-DE"/>
              </w:rPr>
              <w:t>ՀՀ</w:t>
            </w:r>
            <w:r w:rsidRPr="00511A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տնտեսական զարգացման և ներդրումների</w:t>
            </w:r>
          </w:p>
          <w:p w:rsidR="00840CC3" w:rsidRPr="00511ADE" w:rsidRDefault="00840CC3" w:rsidP="004C5DE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C5DEF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4C5DEF">
              <w:rPr>
                <w:rFonts w:ascii="GHEA Grapalat" w:hAnsi="GHEA Grapalat" w:cs="Sylfaen"/>
                <w:sz w:val="24"/>
                <w:szCs w:val="24"/>
                <w:lang w:val="de-DE"/>
              </w:rPr>
              <w:t>ախարարի</w:t>
            </w:r>
          </w:p>
          <w:p w:rsidR="00840CC3" w:rsidRPr="004C5DEF" w:rsidRDefault="00840CC3" w:rsidP="004C5DEF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4C5DEF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16.05.2019թ. </w:t>
            </w:r>
          </w:p>
          <w:p w:rsidR="00840CC3" w:rsidRPr="004C5DEF" w:rsidRDefault="00840CC3" w:rsidP="004C5DEF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4C5DEF">
              <w:rPr>
                <w:rFonts w:ascii="GHEA Grapalat" w:hAnsi="GHEA Grapalat" w:cs="Sylfaen"/>
                <w:sz w:val="24"/>
                <w:szCs w:val="24"/>
                <w:lang w:val="de-DE"/>
              </w:rPr>
              <w:t>N 02/12.2/4210-19 գրություն</w:t>
            </w:r>
          </w:p>
          <w:p w:rsidR="00840CC3" w:rsidRPr="004C5DEF" w:rsidRDefault="00840CC3" w:rsidP="004C5DE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002" w:type="dxa"/>
          </w:tcPr>
          <w:p w:rsidR="00840CC3" w:rsidRPr="004C5DEF" w:rsidRDefault="00840CC3" w:rsidP="004C5DEF">
            <w:pPr>
              <w:rPr>
                <w:rFonts w:ascii="GHEA Grapalat" w:hAnsi="GHEA Grapalat"/>
                <w:sz w:val="24"/>
                <w:szCs w:val="24"/>
              </w:rPr>
            </w:pPr>
            <w:r w:rsidRPr="004C5DEF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Ղեկավարվելով ՀՀ Միջազգային պայմանագրերի մասին օրենքի 5-րդ հոդվածի 5-րդ մասով և հաշվի առնելով այն, որ «Եվրասիական տնտեսական միության պետական վերահսկողության տեխնիկական կանոնակարգերի պահանջների, սկզբունքների և մոտեցումների կատարման վերաբերյալ, Եվրասիական տնտեսական միության անդամ պետությունների պետական օրենսդրության ներդաշնակեցում» միջազգային համաձայնագրի  ստորագրումն ուղղված է Եվրասիական տնտեսական միության անդամ պետությունների տարածքում միության </w:t>
            </w:r>
            <w:r w:rsidRPr="004C5DEF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lastRenderedPageBreak/>
              <w:t>տեխնիկական կանոնակարգերի նկատմամբ վերահսկողության մեխանիզմների, շուկայում վտանգավոր արտադրանքի հայտնվելու դեպքերն առավել վերահսկելի դարձնելուն և շուկայում անվտանգության ապահովման մեխանիզմների կատարելագործմանը՝ ՀՀ տնտեսական զարգացման և ներդրումների նախարարությունը նպատակահարմար է գտնում վերոգրյալ միջազգային համաձայնագրի ստորագրումը:</w:t>
            </w:r>
          </w:p>
        </w:tc>
        <w:tc>
          <w:tcPr>
            <w:tcW w:w="2440" w:type="dxa"/>
          </w:tcPr>
          <w:p w:rsidR="00840CC3" w:rsidRPr="004C5DEF" w:rsidRDefault="00840CC3" w:rsidP="004C5DEF">
            <w:pPr>
              <w:rPr>
                <w:rFonts w:ascii="GHEA Grapalat" w:hAnsi="GHEA Grapalat"/>
                <w:sz w:val="24"/>
                <w:szCs w:val="24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2916" w:type="dxa"/>
          </w:tcPr>
          <w:p w:rsidR="00840CC3" w:rsidRPr="004C5DEF" w:rsidRDefault="00840CC3" w:rsidP="004C5DEF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D0294" w:rsidRPr="006E2477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Sylfaen"/>
                <w:sz w:val="24"/>
                <w:szCs w:val="24"/>
                <w:lang w:val="de-DE"/>
              </w:rPr>
              <w:t>ՀՀ</w:t>
            </w:r>
            <w:r w:rsidRPr="00511A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տնտեսական զարգացման և ներդրումների</w:t>
            </w:r>
          </w:p>
          <w:p w:rsidR="00511ADE" w:rsidRPr="00511ADE" w:rsidRDefault="00511ADE" w:rsidP="00511AD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C5DEF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4C5DEF">
              <w:rPr>
                <w:rFonts w:ascii="GHEA Grapalat" w:hAnsi="GHEA Grapalat" w:cs="Sylfaen"/>
                <w:sz w:val="24"/>
                <w:szCs w:val="24"/>
                <w:lang w:val="de-DE"/>
              </w:rPr>
              <w:t>ախարարի</w:t>
            </w:r>
          </w:p>
          <w:p w:rsidR="00511ADE" w:rsidRPr="004C5DEF" w:rsidRDefault="00511ADE" w:rsidP="00511ADE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24</w:t>
            </w:r>
            <w:r w:rsidRPr="004C5DEF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.05.2019թ. </w:t>
            </w:r>
          </w:p>
          <w:p w:rsidR="00511ADE" w:rsidRDefault="00511ADE" w:rsidP="00511ADE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4C5DEF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N </w:t>
            </w:r>
            <w:r w:rsidRPr="00511ADE">
              <w:rPr>
                <w:rFonts w:ascii="GHEA Grapalat" w:hAnsi="GHEA Grapalat" w:cs="Sylfaen"/>
                <w:sz w:val="24"/>
                <w:szCs w:val="24"/>
                <w:lang w:val="de-DE"/>
              </w:rPr>
              <w:t>02/12.2/4419-19</w:t>
            </w:r>
          </w:p>
          <w:p w:rsidR="00511ADE" w:rsidRPr="004C5DEF" w:rsidRDefault="00511ADE" w:rsidP="00511ADE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4C5DEF">
              <w:rPr>
                <w:rFonts w:ascii="GHEA Grapalat" w:hAnsi="GHEA Grapalat" w:cs="Sylfaen"/>
                <w:sz w:val="24"/>
                <w:szCs w:val="24"/>
                <w:lang w:val="de-DE"/>
              </w:rPr>
              <w:t>գրություն</w:t>
            </w:r>
          </w:p>
          <w:p w:rsidR="00511ADE" w:rsidRPr="004C5DEF" w:rsidRDefault="00511ADE" w:rsidP="00511ADE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</w:p>
        </w:tc>
        <w:tc>
          <w:tcPr>
            <w:tcW w:w="5002" w:type="dxa"/>
          </w:tcPr>
          <w:p w:rsidR="00511ADE" w:rsidRPr="00511ADE" w:rsidRDefault="00511ADE" w:rsidP="00511ADE">
            <w:pPr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</w:pPr>
            <w:r w:rsidRPr="004C5DE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 w:bidi="hy-AM"/>
              </w:rPr>
              <w:t xml:space="preserve">Համաձայնագրի նախագծի </w:t>
            </w:r>
            <w:r w:rsidRPr="00511ADE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9-րդ հոդվածի 2-րդ մաս</w:t>
            </w:r>
            <w:r w:rsidR="00EF0A0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ը</w:t>
            </w:r>
            <w:r w:rsidRPr="00511ADE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անհրաժեշտ է շարադրել  հետևյալ խմբագրությամբ.</w:t>
            </w:r>
          </w:p>
          <w:p w:rsidR="00511ADE" w:rsidRPr="00AD0294" w:rsidRDefault="00511ADE" w:rsidP="00511ADE">
            <w:pPr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</w:pPr>
            <w:r w:rsidRPr="00511ADE">
              <w:rPr>
                <w:rFonts w:ascii="GHEA Grapalat" w:eastAsia="Times New Roman" w:hAnsi="GHEA Grapalat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AD029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«2.</w:t>
            </w:r>
            <w:r w:rsidRPr="00AD0294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val="hy-AM"/>
              </w:rPr>
              <w:t> </w:t>
            </w:r>
            <w:r w:rsidRPr="00AD029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Приостановление или прекращение действия (признание недействительными) документов об оценке соответствия </w:t>
            </w:r>
            <w:r w:rsidRPr="00AD0294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lang w:val="hy-AM"/>
              </w:rPr>
              <w:t>зарегистрированных в национальной части единого реестра,</w:t>
            </w:r>
            <w:r w:rsidRPr="00AD029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осуществляется органами государственного контроля (надзора) и (или) иными уполномоченными органами </w:t>
            </w:r>
            <w:r w:rsidRPr="00AD0294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u w:val="single"/>
                <w:lang w:val="hy-AM"/>
              </w:rPr>
              <w:t>этого</w:t>
            </w:r>
            <w:r w:rsidRPr="00AD029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государства-члена в соответствии с законодательством </w:t>
            </w:r>
            <w:r w:rsidRPr="00AD0294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u w:val="single"/>
                <w:lang w:val="hy-AM"/>
              </w:rPr>
              <w:t>этого</w:t>
            </w:r>
            <w:r w:rsidRPr="00AD029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государства-члена.».</w:t>
            </w:r>
          </w:p>
          <w:p w:rsidR="00511ADE" w:rsidRPr="00AD0294" w:rsidRDefault="00511ADE" w:rsidP="00511ADE">
            <w:pPr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</w:pPr>
            <w:r w:rsidRPr="00AD029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(Таким образом, орган по надзору одного государства </w:t>
            </w:r>
            <w:r w:rsidRPr="00AD0294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u w:val="single"/>
                <w:lang w:val="hy-AM"/>
              </w:rPr>
              <w:t>не может</w:t>
            </w:r>
            <w:r w:rsidRPr="00AD029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выдать </w:t>
            </w:r>
            <w:r w:rsidRPr="00AD029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lastRenderedPageBreak/>
              <w:t>предписание о приостановлении (прекращения действия) документа об оценке соответствия органу (выдавшему этот документ) другого государства члена</w:t>
            </w:r>
            <w:r w:rsidR="00345938" w:rsidRPr="00AD029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ru-RU"/>
              </w:rPr>
              <w:t>.</w:t>
            </w:r>
            <w:r w:rsidR="00345938" w:rsidRPr="00AD029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</w:t>
            </w:r>
          </w:p>
          <w:p w:rsidR="00345938" w:rsidRPr="00345938" w:rsidRDefault="00345938" w:rsidP="00345938">
            <w:pPr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</w:pPr>
            <w:r w:rsidRPr="00345938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 w:bidi="hy-AM"/>
              </w:rPr>
              <w:t xml:space="preserve">2. Համապատասխանության գնահատման վերաբերյալ փաստաթղթերի գործողության կասեցումը կամ դադարեցումը (դրանց անվավեր ճանաչումը), որոնք գրանցված են </w:t>
            </w:r>
            <w:r w:rsidRPr="00345938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lang w:val="hy-AM" w:bidi="hy-AM"/>
              </w:rPr>
              <w:t>ազգային միասնական գրանցամատյաններում</w:t>
            </w:r>
            <w:r w:rsidRPr="00345938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 w:bidi="hy-AM"/>
              </w:rPr>
              <w:t xml:space="preserve">, իրականացվում է </w:t>
            </w:r>
            <w:r w:rsidRPr="00345938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lang w:val="hy-AM" w:bidi="hy-AM"/>
              </w:rPr>
              <w:t>տվյալ</w:t>
            </w:r>
            <w:r w:rsidRPr="00345938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 w:bidi="hy-AM"/>
              </w:rPr>
              <w:t xml:space="preserve"> անդամ պետության պետական հսկողության (վերահսկողության) մարմինների եւ (կամ) այլ լիազորված անձանց կողմից՝ տվյալ անդամ պետության օրենսդրությանը համապատասխան:</w:t>
            </w:r>
            <w:r w:rsidRPr="00345938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:rsidR="00345938" w:rsidRPr="00345938" w:rsidRDefault="00345938" w:rsidP="00345938">
            <w:pPr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 w:bidi="hy-AM"/>
              </w:rPr>
            </w:pPr>
            <w:r w:rsidRPr="00345938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 w:bidi="hy-AM"/>
              </w:rPr>
              <w:t>(Այսպիսով, որևէ պետության վերահսկող մարմին չի կարող մեկ այլ անդամ պետության մեկ այլ մարմնի կողմից տրված համապատասխանության գնահատման փաստաթղթի կասեցման (դրանց անվավեր ճանաչման) կարգադրագիր տալ)։</w:t>
            </w:r>
          </w:p>
          <w:p w:rsidR="00511ADE" w:rsidRPr="00511ADE" w:rsidRDefault="00511ADE" w:rsidP="00511ADE">
            <w:pPr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</w:pPr>
            <w:r w:rsidRPr="00511ADE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Այս տրամաբանությամբ անհրաժեշտ է վերախմբագրել Համաձայնագրի 9-րդ հոդվածն ամբողջությամբ, քանի որ</w:t>
            </w:r>
            <w:r w:rsidRPr="00345938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345938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lastRenderedPageBreak/>
              <w:t>Հ</w:t>
            </w:r>
            <w:r w:rsidRPr="00511ADE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ամաձայնագրի 9-րդ հոդվածի ներկայացված խմբագրությունը կարող է հանդիսանալ առևտրում տեխնիկական խոչընդոտ (արգելք):</w:t>
            </w:r>
          </w:p>
          <w:p w:rsidR="00511ADE" w:rsidRPr="004C5DEF" w:rsidRDefault="00511ADE" w:rsidP="00345938">
            <w:pPr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</w:pPr>
            <w:r w:rsidRPr="00511ADE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Այս սկզբունքն արտացոլված է նաև Եվրասիական տնտեսական միության տեխնիկական կանոնակարգերով սահմանված պահանջներին արտադրանքի համապատասխանության հայտարարագրերի գրանցման, դրանց գործողության </w:t>
            </w:r>
            <w:r w:rsidRPr="00511ADE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lang w:val="hy-AM"/>
              </w:rPr>
              <w:t>կասեցման</w:t>
            </w:r>
            <w:r w:rsidRPr="00511ADE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, վերականգնման և դադարեցման կարգը սահմանելու մասին Եվրասիական տնտեսական հանձնաժողովի կոլեգիայի 2018 թ. մարտի 20-ի N 41 որոշմամբ:</w:t>
            </w:r>
          </w:p>
        </w:tc>
        <w:tc>
          <w:tcPr>
            <w:tcW w:w="2440" w:type="dxa"/>
          </w:tcPr>
          <w:p w:rsidR="00511ADE" w:rsidRPr="004C5DEF" w:rsidRDefault="00B530A7" w:rsidP="00B530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Չի ը</w:t>
            </w:r>
            <w:r w:rsidR="00C45D11" w:rsidRPr="00C45D1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նդունվել </w:t>
            </w:r>
          </w:p>
        </w:tc>
        <w:tc>
          <w:tcPr>
            <w:tcW w:w="2916" w:type="dxa"/>
          </w:tcPr>
          <w:p w:rsidR="00AD0294" w:rsidRPr="00AD0294" w:rsidRDefault="00B530A7" w:rsidP="006E24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B530A7">
              <w:rPr>
                <w:rFonts w:ascii="GHEA Grapalat" w:hAnsi="GHEA Grapalat"/>
                <w:sz w:val="24"/>
                <w:szCs w:val="24"/>
                <w:lang w:val="hy-AM"/>
              </w:rPr>
              <w:t>տնում ենք ավելորդ, քանի որ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</w:t>
            </w:r>
            <w:r w:rsidRPr="00B530A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ամապատասխանության գնահատման փաստաթղթերի գործողության կասեցումը կամ դադարեցումը (դրանց անվավեր ճանաչումը) միայն </w:t>
            </w:r>
            <w:bookmarkStart w:id="0" w:name="_GoBack"/>
            <w:bookmarkEnd w:id="0"/>
            <w:r w:rsidRPr="00B530A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անդամ պետության լիազոր մարմինների կողմից տրամադրելու  վերաբերյալ իրավական կարգավորումներն արդեն իսկ սահմանված են  ԵՏՀ Խորհրդի 2018թ. </w:t>
            </w:r>
            <w:r w:rsidRPr="00B530A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ապրիլի 18-ի № 44, ԵՏՀ Կոլեգիայի 2018 մարտի 20-ի № 41 և ԵՏՀ Կոլեգիայի 2018 հունիսի 19-ի № 9 որոշումներով և այլ իրավական ակտերով:</w:t>
            </w:r>
          </w:p>
        </w:tc>
      </w:tr>
      <w:tr w:rsidR="00AD0294" w:rsidRPr="004C5DEF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ՀՀ արտաքին գործերի նախարարի </w:t>
            </w:r>
            <w:r w:rsidRPr="00C45D11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08</w:t>
            </w: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.05.</w:t>
            </w:r>
            <w:r w:rsidRPr="00C45D11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2019</w:t>
            </w: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թ. </w:t>
            </w:r>
            <w:r w:rsidRPr="00C45D11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N </w:t>
            </w:r>
            <w:r w:rsidRPr="00C45D1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1111/5283-19</w:t>
            </w:r>
            <w:r w:rsidRPr="004C5D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002" w:type="dxa"/>
          </w:tcPr>
          <w:p w:rsidR="00511ADE" w:rsidRPr="004C5DEF" w:rsidRDefault="00511ADE" w:rsidP="00511ADE">
            <w:pPr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4C5DE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Համաձայնագրի նախագծի ստորագրումը նպատակահարմար է և համապատասխանում է </w:t>
            </w:r>
            <w:r w:rsidRPr="004C5DEF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 w:bidi="hy-AM"/>
              </w:rPr>
              <w:t>ՀՀ վարած արտաքին քաղաքականությանը, ինչպես նաև ՀՀ ստանձնած միջազգային պարտավորություններին</w:t>
            </w:r>
            <w:r w:rsidRPr="004C5DE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:</w:t>
            </w:r>
          </w:p>
          <w:p w:rsidR="00511ADE" w:rsidRPr="004C5DEF" w:rsidRDefault="00511ADE" w:rsidP="00511ADE">
            <w:p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ՀՀ արտաքին գործերի նախարարությունը Միջազգային պայմանագրերի մասին ՀՀ օրենքի 7-րդ հոդվածի հիմքով նպատակահարմար է համարում համաձայնագրի ստորագրումը։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  <w:r w:rsidRPr="004C5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ի գիտություն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D0294" w:rsidRPr="004C5DEF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ՀՀ արդարադատության  նախարարի </w:t>
            </w: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05.05.2019թ. N </w:t>
            </w:r>
            <w:r w:rsidRPr="004C5D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01/14/9643-19 գրություն</w:t>
            </w:r>
          </w:p>
        </w:tc>
        <w:tc>
          <w:tcPr>
            <w:tcW w:w="5002" w:type="dxa"/>
          </w:tcPr>
          <w:p w:rsidR="00511ADE" w:rsidRPr="004C5DEF" w:rsidRDefault="00511ADE" w:rsidP="00511AD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Համաձայնագրի նախագիծը թեև չի պարունակում Հայաստանի Հանրապետության օրենքին հակասող նորմեր, սակայն պարունակում է օրենքի փոփոխություն կամ նոր օրենքի ընդունում նախատեսող նորմեր:</w:t>
            </w:r>
          </w:p>
          <w:p w:rsidR="00511ADE" w:rsidRPr="004C5DEF" w:rsidRDefault="00511ADE" w:rsidP="00511AD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Համաձայնագրի նախագիծը ներկայիս խմբագրությամբ ենթակա է վավերացման: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  <w:r w:rsidRPr="004C5D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ի գիտություն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D0294" w:rsidRPr="004C5DEF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ֆինանսների նախարարի </w:t>
            </w: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30.04.2019թ. N </w:t>
            </w:r>
            <w:r w:rsidRPr="004C5D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04/5-1/7094-2019 գրություն</w:t>
            </w:r>
          </w:p>
        </w:tc>
        <w:tc>
          <w:tcPr>
            <w:tcW w:w="5002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Համաձայնագրի նախագծում Հայաստանի Հանրապետության համար ֆինանսական պարտավորություններ նախատեսող, եկամուտների նվազեցման կամ ծախսերի ավելացման հանգեցնող  դրույթներ առկա չեն: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D0294" w:rsidRPr="006E2477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գյուղատնտեսության   նախարարի </w:t>
            </w: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23.04.2019թ. N </w:t>
            </w:r>
            <w:r w:rsidRPr="004C5D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ԳՊ/ԱՊ-1/2134-19 գրություն</w:t>
            </w:r>
          </w:p>
        </w:tc>
        <w:tc>
          <w:tcPr>
            <w:tcW w:w="5002" w:type="dxa"/>
          </w:tcPr>
          <w:p w:rsidR="00AD0294" w:rsidRPr="004C5DEF" w:rsidRDefault="00AD0294" w:rsidP="00AD0294">
            <w:pPr>
              <w:widowControl w:val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 w:bidi="hy-AM"/>
              </w:rPr>
              <w:t>Համաձայնագրի նախագծի հոդված 6-ի 4-րդ մասի 1-ին կետում «պետական մարմիններից» բառերից հետո ավելացնել «տնտեսավարող սուբյեկտներից» բառերը:</w:t>
            </w:r>
          </w:p>
          <w:p w:rsidR="00511ADE" w:rsidRPr="004C5DEF" w:rsidRDefault="00AD0294" w:rsidP="00AD0294">
            <w:pPr>
              <w:widowControl w:val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 w:bidi="hy-AM"/>
              </w:rPr>
              <w:t>«</w:t>
            </w:r>
            <w:r w:rsidRPr="00AD02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 w:bidi="hy-AM"/>
              </w:rPr>
              <w:t xml:space="preserve">Предлагается в первом подпункте, пункта 4, статьи 6 Проекта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</w:t>
            </w:r>
            <w:r w:rsidRPr="00AD029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hy-AM" w:bidi="hy-AM"/>
              </w:rPr>
              <w:lastRenderedPageBreak/>
              <w:t>государств-членов Евразийского экономического союза в указанной сфере, после слов «государственных органов» добавить слова «или от хозяйствующих субьектов».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Չի ընդունվել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Նշված մասում տնտեսավարող սուբյեկտների տեսակները նշվում են առանձին-առանձին (իրավաբանական անձինք, անհատ ձեռնարկատերերը):</w:t>
            </w:r>
          </w:p>
        </w:tc>
      </w:tr>
      <w:tr w:rsidR="00AD0294" w:rsidRPr="004C5DEF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ՀՀ բնապահպանության և ընդերքի տեսչական մարմնի ղեկավարի</w:t>
            </w:r>
          </w:p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պարտականությունները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ժամանակավորապես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կատարողի</w:t>
            </w: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07.05.2019թ. N </w:t>
            </w:r>
            <w:r w:rsidRPr="004C5D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111</w:t>
            </w:r>
            <w:r w:rsidRPr="004C5DEF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4C5D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1/111</w:t>
            </w:r>
            <w:r w:rsidRPr="004C5DEF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4C5D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1/1282-19 գրություն</w:t>
            </w:r>
          </w:p>
        </w:tc>
        <w:tc>
          <w:tcPr>
            <w:tcW w:w="5002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չկան: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D0294" w:rsidRPr="004C5DEF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ՀՀ առողջապահական և աշխատանքի տեսչական մարմնի ղեկավարի</w:t>
            </w:r>
          </w:p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30.04.2019թ. N </w:t>
            </w:r>
            <w:r w:rsidRPr="004C5D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01/3882-19 գրություն</w:t>
            </w:r>
          </w:p>
        </w:tc>
        <w:tc>
          <w:tcPr>
            <w:tcW w:w="5002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Առաջարկվում է  Եվրասիական տնտեսական միության կողմից աշխատողների առողջության և անվտանգության ապահովման բնագավառին առնչվող  տեխնիկական կանոնակարգեր հաստատվելու պարագայում,  ՀՀ կառավարության 2015 թվականի հունվարի 30-ի N 71-Ն որոշման մեջ կատարել լրացում՝ համապատասխան բնագավառին առնչվող  տեխնիկական կանոնակարգերի պահանջների պահպանման նկատմամբ պետական վերահսկողություն իրականացնող լիազոր մարմին սահմանելով ՀՀ </w:t>
            </w:r>
          </w:p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առողջապահական և աշխատանքի տեսչական մարմնին։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D0294" w:rsidRPr="006E2477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</w:pP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սննդամթերքի անվտանգության տեսչական մարմնի ղեկավարի </w:t>
            </w: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25.04.2019թ. </w:t>
            </w:r>
          </w:p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N </w:t>
            </w:r>
            <w:r w:rsidRPr="004C5D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01/20.1/2479-19 գրություն</w:t>
            </w:r>
          </w:p>
          <w:p w:rsidR="00511ADE" w:rsidRPr="004C5DEF" w:rsidRDefault="00511ADE" w:rsidP="00511A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5002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1. Անհասկանալի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խմբագրման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վերջին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պարբերությունը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` «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նույն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իրավաբանական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անձի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անհատ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ձեռնարկատիրոջ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նկատմամբ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չանցկացնել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ստուգումներ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միևնույն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պահանջների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կատարման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հաստատված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շարք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տեխնիկական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կանոնակարգերով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շարք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անդամ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պետությունների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վերահսկողություն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հսկողություն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մարմինների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»,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իսկ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եթե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տվյալ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պահանջները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հնարավոր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չէ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չի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ցանկանում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իրականացնել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տնտեսավարողը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որոշակի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(1-3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տարվա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ժամանակահատվածի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ընթացքում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հանձնարարակաների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կատարման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կրկնակի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ստուգման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դեպքերը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այլն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Նշված պարբերությամբ  ապահովվում է պետական մարմինների գործառույթների կրկնորդումների բացառումը և տնտեսավարող սուբյեկտի համար կանխատեսելի մջավայրը: </w:t>
            </w:r>
          </w:p>
        </w:tc>
      </w:tr>
      <w:tr w:rsidR="00AD0294" w:rsidRPr="006E2477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5002" w:type="dxa"/>
          </w:tcPr>
          <w:p w:rsidR="00511ADE" w:rsidRPr="004C5DEF" w:rsidRDefault="00511ADE" w:rsidP="00511A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2. 5-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կետի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` «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տեխնիկական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կանոնակարգերի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պահանջների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կատարման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վերլուծության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կանխատեսման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բառերի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փոխարեն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առաջարկում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ենք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լրացնել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տեխնիկական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կանոնակարգերի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պահանջների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խախտման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դեպքերի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ռիսկի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գնահատման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վերլուծության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բառերը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Նախատեսվող գործառույթը ներկայացված խմբագրությամբ նկարագրված է ավելի լայն և բազմակողմանի, իսկ առաջարկվող խմբագրությամբ գործառույթի 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շրջանակները նեղացվում են: </w:t>
            </w:r>
          </w:p>
        </w:tc>
      </w:tr>
      <w:tr w:rsidR="00AD0294" w:rsidRPr="006E2477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02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3. 6-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կետի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` «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վերահսկողության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հսկողություն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շրջանակներում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փորձարկման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լաբորատորիայում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կենտրոնում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չի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թույլատրվում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անցկացնել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փորձարկում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ապրանքի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նմուշների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չափում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որտեղ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նշված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ապրանքը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գնահատվել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հաստատված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տեխնիկական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կանոնակարգերի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պահանջների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հանաձայն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բացառությամբ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այն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դեպքերի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երբ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անդամ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պետությունում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գրանցվում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միայն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մեկ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փորձագիտական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լաբորատորիա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կենտրոն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որպես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վերահսկողության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անհրաժեշտ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փորձարկումներ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իրականացնող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մարմին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այս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պարբերության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մեջ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գնահատվել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հաստատված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)»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բառերի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փոխարեն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առաջարկում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ենք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լրացնել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գնահատվել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սերտիֆիկացվել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)»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բառերը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բացի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սրանից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կարծում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ենք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բոլոր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անդամ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երկներում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արդեն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կլինեն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մեկից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ավելի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տվյալ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ոլորտի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փորձագիտական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լաբորատորիաներ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որոշակի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ժամկետում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հնարավոր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այս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պահանջը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հակառակ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դեպքում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բոլոր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անդամ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երկրներն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կօգտագործեն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այս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հնարավորությունը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տարբեր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հիմնավորմամբ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որը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կոռուպցիոն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ռիսկեր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պարունակում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Չի ընդունվել</w:t>
            </w:r>
          </w:p>
        </w:tc>
        <w:tc>
          <w:tcPr>
            <w:tcW w:w="2916" w:type="dxa"/>
          </w:tcPr>
          <w:p w:rsidR="00511ADE" w:rsidRPr="004C5DEF" w:rsidRDefault="00511ADE" w:rsidP="00B530A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Այստեղ խոսքը ոչ թե սերտիֆիկացման մասին է, այլ՝ հա</w:t>
            </w:r>
            <w:r w:rsidR="00B530A7">
              <w:rPr>
                <w:rFonts w:ascii="GHEA Grapalat" w:hAnsi="GHEA Grapalat" w:cs="Arial"/>
                <w:sz w:val="24"/>
                <w:szCs w:val="24"/>
                <w:lang w:val="hy-AM"/>
              </w:rPr>
              <w:t>վաստման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: </w:t>
            </w:r>
          </w:p>
        </w:tc>
      </w:tr>
      <w:tr w:rsidR="00AD0294" w:rsidRPr="006E2477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02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4. 6-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4-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կետի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2)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3)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կետը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լրացնել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հետևյալ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խմբագրությամբ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</w:p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«2)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տեխնիկական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կանոնակարգերի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պահանջների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խախտման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դեպքերի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ռիսկերի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գնահատման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վերլուծության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հիման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վրա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մարդու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կյանքի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առողջության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կենդանիների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կյանքի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բույսերի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առողջության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շրջակա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միջավայրի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վնաս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հասցնելու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վնաս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պատճառելու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սպառնալիքի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առաջացման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դեպքում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»,</w:t>
            </w:r>
          </w:p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«3)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Անդամ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պետությունների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օրենքներով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նախատեսված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այլ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դեպքերում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Ընդունվել է մասամբ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Գտնում ենք , որ 4-րդ մասի 2-րդ և 3-րդ կետերը հստակ սահմանում են ռիսկերի առաջացման դեպքերը, իսկ առաջարկության վերջին մասով նախատեսված դրույթ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հոդվածն արդեն իսկ պարունակում է: </w:t>
            </w:r>
          </w:p>
        </w:tc>
      </w:tr>
      <w:tr w:rsidR="00AD0294" w:rsidRPr="006E2477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02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5. 8-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4-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կետը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առաջարկում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ենք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լրացնել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հետևյալ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խմբագրությամբ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</w:p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«4.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Այն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դեպքում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երբ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տեղեկատվության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համակարգում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առկա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վտանգավոր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որը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չի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համապատասխանում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տեխնիկական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կանոնակարգի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պահանջներին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արտադրանքի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մասին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տեղեկատվություն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վերահսկողության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անդամ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պետությունների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այլ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լիազոր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մարմինները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իրենց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անդամ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պետությունների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օրենսդրությամբ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),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միջոցներ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ձեռնարկում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վտանգավոր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արտադրանքի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շրջանառությունը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կանխելու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իրացման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մեջ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գտնվողների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հետագա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շարժը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արգելելու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:»</w:t>
            </w:r>
          </w:p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6. 9-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կետի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1)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ենթակետը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3-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կետը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հստակեցման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Չի ընդունվել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Յուրաքանչյուր անդամ պետության օրենսդրությամբ արդեն իսկ կարգավորվում է վտանգավոր ապրանքի շրջանառության կանխումը կամ շուկայից դուրս բերելը, ուստի նշված դրույթը ավելորդ անգամ կծանրաբեռնի համաձայնագիրը:</w:t>
            </w:r>
          </w:p>
        </w:tc>
      </w:tr>
      <w:tr w:rsidR="00AD0294" w:rsidRPr="004C5DEF" w:rsidTr="00840CC3">
        <w:tc>
          <w:tcPr>
            <w:tcW w:w="3227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 w:cs="Arial"/>
                <w:sz w:val="24"/>
                <w:szCs w:val="24"/>
                <w:lang w:val="hy-AM"/>
              </w:rPr>
              <w:t>ՀՀ շուկայի վերահսկողության տեսչական մարմնի ղեկավարի</w:t>
            </w:r>
          </w:p>
          <w:p w:rsidR="00511ADE" w:rsidRPr="004C5DEF" w:rsidRDefault="00511ADE" w:rsidP="00511ADE">
            <w:pPr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</w:pP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22.04.2019թ. </w:t>
            </w:r>
          </w:p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N </w:t>
            </w:r>
            <w:r w:rsidRPr="004C5D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01//325-2019 գրություն</w:t>
            </w:r>
          </w:p>
        </w:tc>
        <w:tc>
          <w:tcPr>
            <w:tcW w:w="5002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չկան:</w:t>
            </w:r>
          </w:p>
        </w:tc>
        <w:tc>
          <w:tcPr>
            <w:tcW w:w="2440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DEF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16" w:type="dxa"/>
          </w:tcPr>
          <w:p w:rsidR="00511ADE" w:rsidRPr="004C5DEF" w:rsidRDefault="00511ADE" w:rsidP="00511A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215069" w:rsidRPr="004C5DEF" w:rsidRDefault="00215069" w:rsidP="004C5DEF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215069" w:rsidRPr="004C5DEF" w:rsidSect="000712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F0"/>
    <w:rsid w:val="00067449"/>
    <w:rsid w:val="00071211"/>
    <w:rsid w:val="001A056F"/>
    <w:rsid w:val="001D2E7A"/>
    <w:rsid w:val="00204346"/>
    <w:rsid w:val="00215069"/>
    <w:rsid w:val="0026336A"/>
    <w:rsid w:val="00335375"/>
    <w:rsid w:val="00345938"/>
    <w:rsid w:val="003D5AD3"/>
    <w:rsid w:val="003D7C67"/>
    <w:rsid w:val="004C5DEF"/>
    <w:rsid w:val="00511ADE"/>
    <w:rsid w:val="005A0A0B"/>
    <w:rsid w:val="005C1E63"/>
    <w:rsid w:val="006E2477"/>
    <w:rsid w:val="00711958"/>
    <w:rsid w:val="0073532C"/>
    <w:rsid w:val="007A003A"/>
    <w:rsid w:val="00816C09"/>
    <w:rsid w:val="00840CC3"/>
    <w:rsid w:val="00882DFB"/>
    <w:rsid w:val="008B09B4"/>
    <w:rsid w:val="008F0748"/>
    <w:rsid w:val="00911A06"/>
    <w:rsid w:val="00A216F8"/>
    <w:rsid w:val="00A30ACE"/>
    <w:rsid w:val="00A37211"/>
    <w:rsid w:val="00A839C1"/>
    <w:rsid w:val="00AD0294"/>
    <w:rsid w:val="00B530A7"/>
    <w:rsid w:val="00BE547A"/>
    <w:rsid w:val="00BF7140"/>
    <w:rsid w:val="00C45D11"/>
    <w:rsid w:val="00C600F0"/>
    <w:rsid w:val="00CB4660"/>
    <w:rsid w:val="00CB6200"/>
    <w:rsid w:val="00E224AA"/>
    <w:rsid w:val="00EB194C"/>
    <w:rsid w:val="00EB4DD1"/>
    <w:rsid w:val="00EE0E5F"/>
    <w:rsid w:val="00EF0A04"/>
    <w:rsid w:val="00F0479C"/>
    <w:rsid w:val="00F65A71"/>
    <w:rsid w:val="00F86910"/>
    <w:rsid w:val="00F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F11DE-8466-4192-AFDE-3E05EC74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">
    <w:name w:val="msonormal_mailru_css_attribute_postfix_mailru_css_attribute_postfix"/>
    <w:basedOn w:val="Normal"/>
    <w:rsid w:val="00FE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FE3DF5"/>
    <w:rPr>
      <w:b/>
      <w:bCs/>
    </w:rPr>
  </w:style>
  <w:style w:type="paragraph" w:styleId="ListParagraph">
    <w:name w:val="List Paragraph"/>
    <w:basedOn w:val="Normal"/>
    <w:uiPriority w:val="34"/>
    <w:qFormat/>
    <w:rsid w:val="00BE5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BAA9-AC51-4CCB-9E99-EC790105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Syuzanna Gevorgyan</dc:creator>
  <cp:lastModifiedBy>Araqs Karapetyan</cp:lastModifiedBy>
  <cp:revision>5</cp:revision>
  <dcterms:created xsi:type="dcterms:W3CDTF">2019-05-31T06:07:00Z</dcterms:created>
  <dcterms:modified xsi:type="dcterms:W3CDTF">2019-06-10T07:00:00Z</dcterms:modified>
  <cp:keywords>https://mul2.gov.am/tasks/69903/oneclick/AMPOPATERT.docx?token=327beea1ff8f1c16f54ebbf5c899f251</cp:keywords>
</cp:coreProperties>
</file>