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BA" w:rsidRPr="001E19BB" w:rsidRDefault="00D04EBA" w:rsidP="001E19BB">
      <w:pPr>
        <w:pStyle w:val="20"/>
        <w:shd w:val="clear" w:color="auto" w:fill="auto"/>
        <w:spacing w:after="160" w:line="360" w:lineRule="auto"/>
        <w:jc w:val="center"/>
        <w:outlineLvl w:val="9"/>
        <w:rPr>
          <w:rFonts w:ascii="Sylfaen" w:hAnsi="Sylfaen"/>
          <w:sz w:val="24"/>
          <w:szCs w:val="24"/>
          <w:lang w:val="en-US"/>
        </w:rPr>
      </w:pPr>
      <w:bookmarkStart w:id="0" w:name="bookmark0"/>
      <w:bookmarkStart w:id="1" w:name="_GoBack"/>
      <w:bookmarkEnd w:id="1"/>
      <w:r w:rsidRPr="001E19BB">
        <w:rPr>
          <w:rFonts w:ascii="Sylfaen" w:hAnsi="Sylfaen"/>
          <w:noProof/>
          <w:sz w:val="24"/>
          <w:szCs w:val="24"/>
          <w:lang w:val="en-GB" w:eastAsia="en-GB" w:bidi="ar-SA"/>
        </w:rPr>
        <w:drawing>
          <wp:inline distT="0" distB="0" distL="0" distR="0">
            <wp:extent cx="1021715" cy="675640"/>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1715" cy="675640"/>
                    </a:xfrm>
                    <a:prstGeom prst="rect">
                      <a:avLst/>
                    </a:prstGeom>
                    <a:noFill/>
                    <a:ln w="9525">
                      <a:noFill/>
                      <a:miter lim="800000"/>
                      <a:headEnd/>
                      <a:tailEnd/>
                    </a:ln>
                  </pic:spPr>
                </pic:pic>
              </a:graphicData>
            </a:graphic>
          </wp:inline>
        </w:drawing>
      </w:r>
    </w:p>
    <w:p w:rsidR="00D04EBA" w:rsidRDefault="00D04EBA" w:rsidP="001E19BB">
      <w:pPr>
        <w:pStyle w:val="20"/>
        <w:shd w:val="clear" w:color="auto" w:fill="auto"/>
        <w:spacing w:after="160" w:line="360" w:lineRule="auto"/>
        <w:jc w:val="center"/>
        <w:outlineLvl w:val="9"/>
        <w:rPr>
          <w:rFonts w:ascii="Sylfaen" w:hAnsi="Sylfaen"/>
          <w:sz w:val="24"/>
          <w:szCs w:val="24"/>
        </w:rPr>
      </w:pPr>
      <w:r w:rsidRPr="001E19BB">
        <w:rPr>
          <w:rFonts w:ascii="Sylfaen" w:hAnsi="Sylfaen"/>
          <w:sz w:val="24"/>
          <w:szCs w:val="24"/>
        </w:rPr>
        <w:t>ԵՎՐԱՍԻԱԿԱՆ ՏՆՏԵՍԱԿԱՆ ՀԱՆՁՆԱԺՈՂՈՎ</w:t>
      </w:r>
      <w:bookmarkEnd w:id="0"/>
    </w:p>
    <w:p w:rsidR="001E19BB" w:rsidRDefault="001E19BB" w:rsidP="001E19BB">
      <w:pPr>
        <w:pStyle w:val="20"/>
        <w:shd w:val="clear" w:color="auto" w:fill="auto"/>
        <w:spacing w:after="160" w:line="360" w:lineRule="auto"/>
        <w:jc w:val="center"/>
        <w:outlineLvl w:val="9"/>
        <w:rPr>
          <w:rFonts w:ascii="Sylfaen" w:hAnsi="Sylfaen"/>
          <w:sz w:val="24"/>
          <w:szCs w:val="24"/>
        </w:rPr>
      </w:pPr>
      <w:r>
        <w:rPr>
          <w:rFonts w:ascii="Sylfaen" w:hAnsi="Sylfaen"/>
          <w:noProof/>
          <w:sz w:val="24"/>
          <w:szCs w:val="24"/>
          <w:lang w:val="en-GB" w:eastAsia="en-GB" w:bidi="ar-SA"/>
        </w:rPr>
        <w:drawing>
          <wp:inline distT="0" distB="0" distL="0" distR="0">
            <wp:extent cx="5755640" cy="633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55640" cy="63375"/>
                    </a:xfrm>
                    <a:prstGeom prst="rect">
                      <a:avLst/>
                    </a:prstGeom>
                    <a:noFill/>
                    <a:ln w="9525">
                      <a:noFill/>
                      <a:miter lim="800000"/>
                      <a:headEnd/>
                      <a:tailEnd/>
                    </a:ln>
                  </pic:spPr>
                </pic:pic>
              </a:graphicData>
            </a:graphic>
          </wp:inline>
        </w:drawing>
      </w:r>
    </w:p>
    <w:p w:rsidR="001E19BB" w:rsidRPr="001E19BB" w:rsidRDefault="001E19BB" w:rsidP="001E19BB">
      <w:pPr>
        <w:pStyle w:val="20"/>
        <w:shd w:val="clear" w:color="auto" w:fill="auto"/>
        <w:spacing w:after="160" w:line="360" w:lineRule="auto"/>
        <w:jc w:val="center"/>
        <w:outlineLvl w:val="9"/>
        <w:rPr>
          <w:rFonts w:ascii="Sylfaen" w:hAnsi="Sylfaen"/>
          <w:sz w:val="24"/>
          <w:szCs w:val="24"/>
        </w:rPr>
      </w:pPr>
    </w:p>
    <w:p w:rsidR="00D04EBA" w:rsidRPr="001B04CA" w:rsidRDefault="00D04EBA" w:rsidP="001E19BB">
      <w:pPr>
        <w:pStyle w:val="30"/>
        <w:shd w:val="clear" w:color="auto" w:fill="auto"/>
        <w:spacing w:before="0" w:after="160" w:line="360" w:lineRule="auto"/>
        <w:jc w:val="center"/>
        <w:rPr>
          <w:rFonts w:ascii="Sylfaen" w:hAnsi="Sylfaen"/>
          <w:szCs w:val="24"/>
        </w:rPr>
      </w:pPr>
      <w:r w:rsidRPr="001E19BB">
        <w:rPr>
          <w:rFonts w:ascii="Sylfaen" w:hAnsi="Sylfaen"/>
          <w:szCs w:val="24"/>
        </w:rPr>
        <w:t>119121, Մոսկվա, Սմոլենսկի բուլվար, տուն 3/5, շին. 1, հեռ. 8 (495) 669-24-00, լր. 4133</w:t>
      </w:r>
    </w:p>
    <w:tbl>
      <w:tblPr>
        <w:tblOverlap w:val="never"/>
        <w:tblW w:w="9592" w:type="dxa"/>
        <w:jc w:val="center"/>
        <w:tblLayout w:type="fixed"/>
        <w:tblCellMar>
          <w:left w:w="10" w:type="dxa"/>
          <w:right w:w="10" w:type="dxa"/>
        </w:tblCellMar>
        <w:tblLook w:val="0000" w:firstRow="0" w:lastRow="0" w:firstColumn="0" w:lastColumn="0" w:noHBand="0" w:noVBand="0"/>
      </w:tblPr>
      <w:tblGrid>
        <w:gridCol w:w="4502"/>
        <w:gridCol w:w="5090"/>
      </w:tblGrid>
      <w:tr w:rsidR="00D04EBA" w:rsidRPr="001E19BB" w:rsidTr="00595128">
        <w:trPr>
          <w:jc w:val="center"/>
        </w:trPr>
        <w:tc>
          <w:tcPr>
            <w:tcW w:w="4502" w:type="dxa"/>
            <w:shd w:val="clear" w:color="auto" w:fill="FFFFFF"/>
          </w:tcPr>
          <w:p w:rsidR="00D04EBA" w:rsidRPr="001E19BB" w:rsidRDefault="00D04EBA" w:rsidP="001E19BB">
            <w:pPr>
              <w:pStyle w:val="22"/>
              <w:shd w:val="clear" w:color="auto" w:fill="auto"/>
              <w:spacing w:after="160" w:line="360" w:lineRule="auto"/>
              <w:ind w:left="180"/>
              <w:jc w:val="left"/>
              <w:rPr>
                <w:rFonts w:ascii="Sylfaen" w:hAnsi="Sylfaen"/>
                <w:i/>
                <w:sz w:val="24"/>
                <w:szCs w:val="24"/>
              </w:rPr>
            </w:pPr>
            <w:r w:rsidRPr="001E19BB">
              <w:rPr>
                <w:rStyle w:val="2Impact13pt-1pt"/>
                <w:rFonts w:ascii="Sylfaen" w:hAnsi="Sylfaen"/>
                <w:i/>
                <w:spacing w:val="0"/>
                <w:sz w:val="24"/>
                <w:szCs w:val="24"/>
              </w:rPr>
              <w:t>12 դեկտեմբերի 2018 թվականի</w:t>
            </w:r>
          </w:p>
        </w:tc>
        <w:tc>
          <w:tcPr>
            <w:tcW w:w="5090" w:type="dxa"/>
            <w:shd w:val="clear" w:color="auto" w:fill="FFFFFF"/>
          </w:tcPr>
          <w:p w:rsidR="00D04EBA" w:rsidRPr="001E19BB" w:rsidRDefault="00703980" w:rsidP="001E19BB">
            <w:pPr>
              <w:pStyle w:val="22"/>
              <w:shd w:val="clear" w:color="auto" w:fill="auto"/>
              <w:spacing w:after="160" w:line="360" w:lineRule="auto"/>
              <w:ind w:right="246"/>
              <w:rPr>
                <w:rFonts w:ascii="Sylfaen" w:hAnsi="Sylfaen"/>
                <w:sz w:val="24"/>
                <w:szCs w:val="24"/>
              </w:rPr>
            </w:pPr>
            <w:r w:rsidRPr="001E19BB">
              <w:rPr>
                <w:rFonts w:ascii="Sylfaen" w:hAnsi="Sylfaen"/>
                <w:sz w:val="24"/>
                <w:szCs w:val="24"/>
              </w:rPr>
              <w:t xml:space="preserve">№ </w:t>
            </w:r>
            <w:r w:rsidRPr="001E19BB">
              <w:rPr>
                <w:rFonts w:ascii="Sylfaen" w:hAnsi="Sylfaen"/>
                <w:i/>
                <w:sz w:val="24"/>
                <w:szCs w:val="24"/>
                <w:lang w:val="en-US"/>
              </w:rPr>
              <w:t>HB</w:t>
            </w:r>
            <w:r w:rsidRPr="001E19BB">
              <w:rPr>
                <w:rFonts w:ascii="Sylfaen" w:hAnsi="Sylfaen"/>
                <w:i/>
                <w:sz w:val="24"/>
                <w:szCs w:val="24"/>
              </w:rPr>
              <w:t>-</w:t>
            </w:r>
            <w:r w:rsidRPr="001E19BB">
              <w:rPr>
                <w:rFonts w:ascii="Sylfaen" w:hAnsi="Sylfaen"/>
                <w:i/>
                <w:sz w:val="24"/>
                <w:szCs w:val="24"/>
                <w:lang w:val="en-US"/>
              </w:rPr>
              <w:t>3124</w:t>
            </w:r>
            <w:r w:rsidRPr="001E19BB">
              <w:rPr>
                <w:rFonts w:ascii="Sylfaen" w:hAnsi="Sylfaen"/>
                <w:i/>
                <w:sz w:val="24"/>
                <w:szCs w:val="24"/>
              </w:rPr>
              <w:t>/</w:t>
            </w:r>
            <w:r w:rsidRPr="001E19BB">
              <w:rPr>
                <w:rFonts w:ascii="Sylfaen" w:hAnsi="Sylfaen"/>
                <w:i/>
                <w:sz w:val="24"/>
                <w:szCs w:val="24"/>
                <w:lang w:val="en-US"/>
              </w:rPr>
              <w:t>16</w:t>
            </w:r>
          </w:p>
        </w:tc>
      </w:tr>
    </w:tbl>
    <w:p w:rsidR="00D04EBA" w:rsidRPr="001E19BB" w:rsidRDefault="00D04EBA" w:rsidP="001E19BB">
      <w:pPr>
        <w:pStyle w:val="22"/>
        <w:shd w:val="clear" w:color="auto" w:fill="auto"/>
        <w:spacing w:after="160" w:line="360" w:lineRule="auto"/>
        <w:jc w:val="both"/>
        <w:rPr>
          <w:rFonts w:ascii="Sylfaen" w:hAnsi="Sylfaen"/>
          <w:sz w:val="24"/>
          <w:szCs w:val="24"/>
          <w:lang w:val="en-US"/>
        </w:rPr>
      </w:pPr>
    </w:p>
    <w:p w:rsidR="00D04EBA" w:rsidRPr="001E19BB" w:rsidRDefault="00D04EBA" w:rsidP="001E19BB">
      <w:pPr>
        <w:pStyle w:val="22"/>
        <w:shd w:val="clear" w:color="auto" w:fill="auto"/>
        <w:spacing w:after="160" w:line="360" w:lineRule="auto"/>
        <w:ind w:left="5103"/>
        <w:jc w:val="center"/>
        <w:rPr>
          <w:rFonts w:ascii="Sylfaen" w:hAnsi="Sylfaen"/>
          <w:sz w:val="24"/>
          <w:szCs w:val="24"/>
          <w:lang w:val="en-US"/>
        </w:rPr>
      </w:pPr>
      <w:r w:rsidRPr="001E19BB">
        <w:rPr>
          <w:rFonts w:ascii="Sylfaen" w:hAnsi="Sylfaen"/>
          <w:sz w:val="24"/>
          <w:szCs w:val="24"/>
        </w:rPr>
        <w:t>Հայաստանի Հանրապետության կառավարություն</w:t>
      </w:r>
    </w:p>
    <w:p w:rsidR="00D04EBA" w:rsidRPr="001E19BB" w:rsidRDefault="00D04EBA" w:rsidP="001E19BB">
      <w:pPr>
        <w:pStyle w:val="22"/>
        <w:shd w:val="clear" w:color="auto" w:fill="auto"/>
        <w:spacing w:after="160" w:line="360" w:lineRule="auto"/>
        <w:jc w:val="both"/>
        <w:rPr>
          <w:rFonts w:ascii="Sylfaen" w:hAnsi="Sylfaen"/>
          <w:sz w:val="24"/>
          <w:szCs w:val="24"/>
          <w:lang w:val="en-US"/>
        </w:rPr>
      </w:pPr>
    </w:p>
    <w:p w:rsidR="00D04EBA" w:rsidRPr="001E19BB" w:rsidRDefault="00D04EBA" w:rsidP="001E19BB">
      <w:pPr>
        <w:pStyle w:val="22"/>
        <w:spacing w:after="160" w:line="360" w:lineRule="auto"/>
        <w:ind w:firstLine="580"/>
        <w:jc w:val="both"/>
        <w:rPr>
          <w:rFonts w:ascii="Sylfaen" w:hAnsi="Sylfaen"/>
          <w:sz w:val="24"/>
          <w:szCs w:val="24"/>
        </w:rPr>
      </w:pPr>
      <w:r w:rsidRPr="001E19BB">
        <w:rPr>
          <w:rFonts w:ascii="Sylfaen" w:hAnsi="Sylfaen"/>
          <w:sz w:val="24"/>
          <w:szCs w:val="24"/>
          <w:lang w:val="ru-RU"/>
        </w:rPr>
        <w:t>Եվրասիական</w:t>
      </w:r>
      <w:r w:rsidRPr="001E19BB">
        <w:rPr>
          <w:rFonts w:ascii="Sylfaen" w:hAnsi="Sylfaen"/>
          <w:sz w:val="24"/>
          <w:szCs w:val="24"/>
          <w:lang w:val="en-US"/>
        </w:rPr>
        <w:t xml:space="preserve"> </w:t>
      </w:r>
      <w:r w:rsidRPr="001E19BB">
        <w:rPr>
          <w:rFonts w:ascii="Sylfaen" w:hAnsi="Sylfaen"/>
          <w:sz w:val="24"/>
          <w:szCs w:val="24"/>
        </w:rPr>
        <w:t xml:space="preserve">տնտեսական հանձնաժողովը (այսուհետ՝ Հանձնաժողով) ուղարկում է Հանձնաժողովի խորհրդի </w:t>
      </w:r>
      <w:r w:rsidRPr="001E19BB">
        <w:rPr>
          <w:rFonts w:ascii="Sylfaen" w:hAnsi="Sylfaen"/>
          <w:sz w:val="24"/>
          <w:szCs w:val="24"/>
          <w:lang w:val="en-US"/>
        </w:rPr>
        <w:t>««</w:t>
      </w:r>
      <w:r w:rsidRPr="001E19BB">
        <w:rPr>
          <w:rFonts w:ascii="Sylfaen" w:hAnsi="Sylfaen"/>
          <w:sz w:val="24"/>
          <w:szCs w:val="24"/>
          <w:lang w:val="ru-RU"/>
        </w:rPr>
        <w:t>Նշված</w:t>
      </w:r>
      <w:r w:rsidRPr="001E19BB">
        <w:rPr>
          <w:rFonts w:ascii="Sylfaen" w:hAnsi="Sylfaen"/>
          <w:sz w:val="24"/>
          <w:szCs w:val="24"/>
          <w:lang w:val="en-US"/>
        </w:rPr>
        <w:t xml:space="preserve"> </w:t>
      </w:r>
      <w:r w:rsidRPr="001E19BB">
        <w:rPr>
          <w:rFonts w:ascii="Sylfaen" w:hAnsi="Sylfaen"/>
          <w:sz w:val="24"/>
          <w:szCs w:val="24"/>
          <w:lang w:val="ru-RU"/>
        </w:rPr>
        <w:t>ոլորտում</w:t>
      </w:r>
      <w:r w:rsidRPr="001E19BB">
        <w:rPr>
          <w:rFonts w:ascii="Sylfaen" w:hAnsi="Sylfaen"/>
          <w:sz w:val="24"/>
          <w:szCs w:val="24"/>
          <w:lang w:val="en-US"/>
        </w:rPr>
        <w:t xml:space="preserve"> </w:t>
      </w:r>
      <w:r w:rsidRPr="001E19BB">
        <w:rPr>
          <w:rFonts w:ascii="Sylfaen" w:hAnsi="Sylfaen"/>
          <w:sz w:val="24"/>
          <w:szCs w:val="24"/>
          <w:lang w:val="ru-RU"/>
        </w:rPr>
        <w:t>Եվրասիական</w:t>
      </w:r>
      <w:r w:rsidRPr="001E19BB">
        <w:rPr>
          <w:rFonts w:ascii="Sylfaen" w:hAnsi="Sylfaen"/>
          <w:sz w:val="24"/>
          <w:szCs w:val="24"/>
          <w:lang w:val="en-US"/>
        </w:rPr>
        <w:t xml:space="preserve"> </w:t>
      </w:r>
      <w:r w:rsidRPr="001E19BB">
        <w:rPr>
          <w:rFonts w:ascii="Sylfaen" w:hAnsi="Sylfaen"/>
          <w:sz w:val="24"/>
          <w:szCs w:val="24"/>
          <w:lang w:val="ru-RU"/>
        </w:rPr>
        <w:t>տնտեսական</w:t>
      </w:r>
      <w:r w:rsidRPr="001E19BB">
        <w:rPr>
          <w:rFonts w:ascii="Sylfaen" w:hAnsi="Sylfaen"/>
          <w:sz w:val="24"/>
          <w:szCs w:val="24"/>
          <w:lang w:val="en-US"/>
        </w:rPr>
        <w:t xml:space="preserve"> </w:t>
      </w:r>
      <w:r w:rsidRPr="001E19BB">
        <w:rPr>
          <w:rFonts w:ascii="Sylfaen" w:hAnsi="Sylfaen"/>
          <w:sz w:val="24"/>
          <w:szCs w:val="24"/>
          <w:lang w:val="ru-RU"/>
        </w:rPr>
        <w:t>միության</w:t>
      </w:r>
      <w:r w:rsidRPr="001E19BB">
        <w:rPr>
          <w:rFonts w:ascii="Sylfaen" w:hAnsi="Sylfaen"/>
          <w:sz w:val="24"/>
          <w:szCs w:val="24"/>
          <w:lang w:val="en-US"/>
        </w:rPr>
        <w:t xml:space="preserve"> </w:t>
      </w:r>
      <w:r w:rsidRPr="001E19BB">
        <w:rPr>
          <w:rFonts w:ascii="Sylfaen" w:hAnsi="Sylfaen"/>
          <w:sz w:val="24"/>
          <w:szCs w:val="24"/>
          <w:lang w:val="ru-RU"/>
        </w:rPr>
        <w:t>անդամ</w:t>
      </w:r>
      <w:r w:rsidRPr="001E19BB">
        <w:rPr>
          <w:rFonts w:ascii="Sylfaen" w:hAnsi="Sylfaen"/>
          <w:sz w:val="24"/>
          <w:szCs w:val="24"/>
          <w:lang w:val="en-US"/>
        </w:rPr>
        <w:t xml:space="preserve"> </w:t>
      </w:r>
      <w:r w:rsidRPr="001E19BB">
        <w:rPr>
          <w:rFonts w:ascii="Sylfaen" w:hAnsi="Sylfaen"/>
          <w:sz w:val="24"/>
          <w:szCs w:val="24"/>
          <w:lang w:val="ru-RU"/>
        </w:rPr>
        <w:t>պետությունների</w:t>
      </w:r>
      <w:r w:rsidRPr="001E19BB">
        <w:rPr>
          <w:rFonts w:ascii="Sylfaen" w:hAnsi="Sylfaen"/>
          <w:sz w:val="24"/>
          <w:szCs w:val="24"/>
          <w:lang w:val="en-US"/>
        </w:rPr>
        <w:t xml:space="preserve"> </w:t>
      </w:r>
      <w:r w:rsidRPr="001E19BB">
        <w:rPr>
          <w:rFonts w:ascii="Sylfaen" w:hAnsi="Sylfaen"/>
          <w:sz w:val="24"/>
          <w:szCs w:val="24"/>
          <w:lang w:val="ru-RU"/>
        </w:rPr>
        <w:t>օրենսդրության</w:t>
      </w:r>
      <w:r w:rsidRPr="001E19BB">
        <w:rPr>
          <w:rFonts w:ascii="Sylfaen" w:hAnsi="Sylfaen"/>
          <w:sz w:val="24"/>
          <w:szCs w:val="24"/>
          <w:lang w:val="en-US"/>
        </w:rPr>
        <w:t xml:space="preserve"> </w:t>
      </w:r>
      <w:r w:rsidRPr="001E19BB">
        <w:rPr>
          <w:rFonts w:ascii="Sylfaen" w:hAnsi="Sylfaen"/>
          <w:sz w:val="24"/>
          <w:szCs w:val="24"/>
          <w:lang w:val="ru-RU"/>
        </w:rPr>
        <w:t>ներդաշնակեցման</w:t>
      </w:r>
      <w:r w:rsidRPr="001E19BB">
        <w:rPr>
          <w:rFonts w:ascii="Sylfaen" w:hAnsi="Sylfaen"/>
          <w:sz w:val="24"/>
          <w:szCs w:val="24"/>
          <w:lang w:val="en-US"/>
        </w:rPr>
        <w:t xml:space="preserve"> </w:t>
      </w:r>
      <w:r w:rsidRPr="001E19BB">
        <w:rPr>
          <w:rFonts w:ascii="Sylfaen" w:hAnsi="Sylfaen"/>
          <w:sz w:val="24"/>
          <w:szCs w:val="24"/>
          <w:lang w:val="ru-RU"/>
        </w:rPr>
        <w:t>նպատակով՝</w:t>
      </w:r>
      <w:r w:rsidRPr="001E19BB">
        <w:rPr>
          <w:rFonts w:ascii="Sylfaen" w:hAnsi="Sylfaen"/>
          <w:sz w:val="24"/>
          <w:szCs w:val="24"/>
          <w:lang w:val="en-US"/>
        </w:rPr>
        <w:t xml:space="preserve"> </w:t>
      </w:r>
      <w:r w:rsidRPr="001E19BB">
        <w:rPr>
          <w:rFonts w:ascii="Sylfaen" w:hAnsi="Sylfaen"/>
          <w:sz w:val="24"/>
          <w:szCs w:val="24"/>
          <w:lang w:val="ru-RU"/>
        </w:rPr>
        <w:t>Եվրասիական</w:t>
      </w:r>
      <w:r w:rsidRPr="001E19BB">
        <w:rPr>
          <w:rFonts w:ascii="Sylfaen" w:hAnsi="Sylfaen"/>
          <w:sz w:val="24"/>
          <w:szCs w:val="24"/>
          <w:lang w:val="en-US"/>
        </w:rPr>
        <w:t xml:space="preserve"> </w:t>
      </w:r>
      <w:r w:rsidRPr="001E19BB">
        <w:rPr>
          <w:rFonts w:ascii="Sylfaen" w:hAnsi="Sylfaen"/>
          <w:sz w:val="24"/>
          <w:szCs w:val="24"/>
          <w:lang w:val="ru-RU"/>
        </w:rPr>
        <w:t>տնտեսական</w:t>
      </w:r>
      <w:r w:rsidRPr="001E19BB">
        <w:rPr>
          <w:rFonts w:ascii="Sylfaen" w:hAnsi="Sylfaen"/>
          <w:sz w:val="24"/>
          <w:szCs w:val="24"/>
          <w:lang w:val="en-US"/>
        </w:rPr>
        <w:t xml:space="preserve"> </w:t>
      </w:r>
      <w:r w:rsidRPr="001E19BB">
        <w:rPr>
          <w:rFonts w:ascii="Sylfaen" w:hAnsi="Sylfaen"/>
          <w:sz w:val="24"/>
          <w:szCs w:val="24"/>
          <w:lang w:val="ru-RU"/>
        </w:rPr>
        <w:t>միության</w:t>
      </w:r>
      <w:r w:rsidRPr="001E19BB">
        <w:rPr>
          <w:rFonts w:ascii="Sylfaen" w:hAnsi="Sylfaen"/>
          <w:sz w:val="24"/>
          <w:szCs w:val="24"/>
          <w:lang w:val="en-US"/>
        </w:rPr>
        <w:t xml:space="preserve"> </w:t>
      </w:r>
      <w:r w:rsidRPr="001E19BB">
        <w:rPr>
          <w:rFonts w:ascii="Sylfaen" w:hAnsi="Sylfaen"/>
          <w:sz w:val="24"/>
          <w:szCs w:val="24"/>
          <w:lang w:val="ru-RU"/>
        </w:rPr>
        <w:t>տեխնիկական</w:t>
      </w:r>
      <w:r w:rsidRPr="001E19BB">
        <w:rPr>
          <w:rFonts w:ascii="Sylfaen" w:hAnsi="Sylfaen"/>
          <w:sz w:val="24"/>
          <w:szCs w:val="24"/>
          <w:lang w:val="en-US"/>
        </w:rPr>
        <w:t xml:space="preserve"> </w:t>
      </w:r>
      <w:r w:rsidRPr="001E19BB">
        <w:rPr>
          <w:rFonts w:ascii="Sylfaen" w:hAnsi="Sylfaen"/>
          <w:sz w:val="24"/>
          <w:szCs w:val="24"/>
          <w:lang w:val="ru-RU"/>
        </w:rPr>
        <w:t>կանոնակարգերի</w:t>
      </w:r>
      <w:r w:rsidRPr="001E19BB">
        <w:rPr>
          <w:rFonts w:ascii="Sylfaen" w:hAnsi="Sylfaen"/>
          <w:sz w:val="24"/>
          <w:szCs w:val="24"/>
          <w:lang w:val="en-US"/>
        </w:rPr>
        <w:t xml:space="preserve"> </w:t>
      </w:r>
      <w:r w:rsidRPr="001E19BB">
        <w:rPr>
          <w:rFonts w:ascii="Sylfaen" w:hAnsi="Sylfaen"/>
          <w:sz w:val="24"/>
          <w:szCs w:val="24"/>
          <w:lang w:val="ru-RU"/>
        </w:rPr>
        <w:t>պահանջների</w:t>
      </w:r>
      <w:r w:rsidRPr="001E19BB">
        <w:rPr>
          <w:rFonts w:ascii="Sylfaen" w:hAnsi="Sylfaen"/>
          <w:sz w:val="24"/>
          <w:szCs w:val="24"/>
          <w:lang w:val="en-US"/>
        </w:rPr>
        <w:t xml:space="preserve"> </w:t>
      </w:r>
      <w:r w:rsidRPr="001E19BB">
        <w:rPr>
          <w:rFonts w:ascii="Sylfaen" w:hAnsi="Sylfaen"/>
          <w:sz w:val="24"/>
          <w:szCs w:val="24"/>
          <w:lang w:val="ru-RU"/>
        </w:rPr>
        <w:t>պահպանման</w:t>
      </w:r>
      <w:r w:rsidRPr="001E19BB">
        <w:rPr>
          <w:rFonts w:ascii="Sylfaen" w:hAnsi="Sylfaen"/>
          <w:sz w:val="24"/>
          <w:szCs w:val="24"/>
          <w:lang w:val="en-US"/>
        </w:rPr>
        <w:t xml:space="preserve"> </w:t>
      </w:r>
      <w:r w:rsidRPr="001E19BB">
        <w:rPr>
          <w:rFonts w:ascii="Sylfaen" w:hAnsi="Sylfaen"/>
          <w:sz w:val="24"/>
          <w:szCs w:val="24"/>
          <w:lang w:val="ru-RU"/>
        </w:rPr>
        <w:t>նկատմամբ</w:t>
      </w:r>
      <w:r w:rsidRPr="001E19BB">
        <w:rPr>
          <w:rFonts w:ascii="Sylfaen" w:hAnsi="Sylfaen"/>
          <w:sz w:val="24"/>
          <w:szCs w:val="24"/>
          <w:lang w:val="en-US"/>
        </w:rPr>
        <w:t xml:space="preserve"> </w:t>
      </w:r>
      <w:r w:rsidRPr="001E19BB">
        <w:rPr>
          <w:rFonts w:ascii="Sylfaen" w:hAnsi="Sylfaen"/>
          <w:sz w:val="24"/>
          <w:szCs w:val="24"/>
          <w:lang w:val="ru-RU"/>
        </w:rPr>
        <w:t>պետական</w:t>
      </w:r>
      <w:r w:rsidRPr="001E19BB">
        <w:rPr>
          <w:rFonts w:ascii="Sylfaen" w:hAnsi="Sylfaen"/>
          <w:sz w:val="24"/>
          <w:szCs w:val="24"/>
          <w:lang w:val="en-US"/>
        </w:rPr>
        <w:t xml:space="preserve"> </w:t>
      </w:r>
      <w:r w:rsidRPr="001E19BB">
        <w:rPr>
          <w:rFonts w:ascii="Sylfaen" w:hAnsi="Sylfaen"/>
          <w:sz w:val="24"/>
          <w:szCs w:val="24"/>
          <w:lang w:val="ru-RU"/>
        </w:rPr>
        <w:t>հսկողություն</w:t>
      </w:r>
      <w:r w:rsidRPr="001E19BB">
        <w:rPr>
          <w:rFonts w:ascii="Sylfaen" w:hAnsi="Sylfaen"/>
          <w:sz w:val="24"/>
          <w:szCs w:val="24"/>
          <w:lang w:val="en-US"/>
        </w:rPr>
        <w:t xml:space="preserve"> (</w:t>
      </w:r>
      <w:r w:rsidRPr="001E19BB">
        <w:rPr>
          <w:rFonts w:ascii="Sylfaen" w:hAnsi="Sylfaen"/>
          <w:sz w:val="24"/>
          <w:szCs w:val="24"/>
          <w:lang w:val="ru-RU"/>
        </w:rPr>
        <w:t>վերահսկողություն</w:t>
      </w:r>
      <w:r w:rsidRPr="001E19BB">
        <w:rPr>
          <w:rFonts w:ascii="Sylfaen" w:hAnsi="Sylfaen"/>
          <w:sz w:val="24"/>
          <w:szCs w:val="24"/>
          <w:lang w:val="en-US"/>
        </w:rPr>
        <w:t xml:space="preserve">) </w:t>
      </w:r>
      <w:r w:rsidRPr="001E19BB">
        <w:rPr>
          <w:rFonts w:ascii="Sylfaen" w:hAnsi="Sylfaen"/>
          <w:sz w:val="24"/>
          <w:szCs w:val="24"/>
          <w:lang w:val="ru-RU"/>
        </w:rPr>
        <w:t>իրականացնելու</w:t>
      </w:r>
      <w:r w:rsidRPr="001E19BB">
        <w:rPr>
          <w:rFonts w:ascii="Sylfaen" w:hAnsi="Sylfaen"/>
          <w:sz w:val="24"/>
          <w:szCs w:val="24"/>
          <w:lang w:val="en-US"/>
        </w:rPr>
        <w:t xml:space="preserve"> </w:t>
      </w:r>
      <w:r w:rsidRPr="001E19BB">
        <w:rPr>
          <w:rFonts w:ascii="Sylfaen" w:hAnsi="Sylfaen"/>
          <w:sz w:val="24"/>
          <w:szCs w:val="24"/>
          <w:lang w:val="ru-RU"/>
        </w:rPr>
        <w:t>սկզբունքների</w:t>
      </w:r>
      <w:r w:rsidRPr="001E19BB">
        <w:rPr>
          <w:rFonts w:ascii="Sylfaen" w:hAnsi="Sylfaen"/>
          <w:sz w:val="24"/>
          <w:szCs w:val="24"/>
          <w:lang w:val="en-US"/>
        </w:rPr>
        <w:t xml:space="preserve"> </w:t>
      </w:r>
      <w:r w:rsidRPr="001E19BB">
        <w:rPr>
          <w:rFonts w:ascii="Sylfaen" w:hAnsi="Sylfaen"/>
          <w:sz w:val="24"/>
          <w:szCs w:val="24"/>
          <w:lang w:val="ru-RU"/>
        </w:rPr>
        <w:t>ու</w:t>
      </w:r>
      <w:r w:rsidRPr="001E19BB">
        <w:rPr>
          <w:rFonts w:ascii="Sylfaen" w:hAnsi="Sylfaen"/>
          <w:sz w:val="24"/>
          <w:szCs w:val="24"/>
          <w:lang w:val="en-US"/>
        </w:rPr>
        <w:t xml:space="preserve"> </w:t>
      </w:r>
      <w:r w:rsidRPr="001E19BB">
        <w:rPr>
          <w:rFonts w:ascii="Sylfaen" w:hAnsi="Sylfaen"/>
          <w:sz w:val="24"/>
          <w:szCs w:val="24"/>
          <w:lang w:val="ru-RU"/>
        </w:rPr>
        <w:t>մոտեցումների</w:t>
      </w:r>
      <w:r w:rsidRPr="001E19BB">
        <w:rPr>
          <w:rFonts w:ascii="Sylfaen" w:hAnsi="Sylfaen"/>
          <w:sz w:val="24"/>
          <w:szCs w:val="24"/>
          <w:lang w:val="en-US"/>
        </w:rPr>
        <w:t xml:space="preserve"> </w:t>
      </w:r>
      <w:r w:rsidRPr="001E19BB">
        <w:rPr>
          <w:rFonts w:ascii="Sylfaen" w:hAnsi="Sylfaen"/>
          <w:sz w:val="24"/>
          <w:szCs w:val="24"/>
          <w:lang w:val="ru-RU"/>
        </w:rPr>
        <w:t>մասին</w:t>
      </w:r>
      <w:r w:rsidRPr="001E19BB">
        <w:rPr>
          <w:rFonts w:ascii="Sylfaen" w:hAnsi="Sylfaen"/>
          <w:sz w:val="24"/>
          <w:szCs w:val="24"/>
          <w:lang w:val="en-US"/>
        </w:rPr>
        <w:t xml:space="preserve">» </w:t>
      </w:r>
      <w:r w:rsidRPr="001E19BB">
        <w:rPr>
          <w:rFonts w:ascii="Sylfaen" w:hAnsi="Sylfaen"/>
          <w:sz w:val="24"/>
          <w:szCs w:val="24"/>
          <w:lang w:val="ru-RU"/>
        </w:rPr>
        <w:t>համաձայնագրի</w:t>
      </w:r>
      <w:r w:rsidRPr="001E19BB">
        <w:rPr>
          <w:rFonts w:ascii="Sylfaen" w:hAnsi="Sylfaen"/>
          <w:sz w:val="24"/>
          <w:szCs w:val="24"/>
          <w:lang w:val="en-US"/>
        </w:rPr>
        <w:t xml:space="preserve"> </w:t>
      </w:r>
      <w:r w:rsidRPr="001E19BB">
        <w:rPr>
          <w:rFonts w:ascii="Sylfaen" w:hAnsi="Sylfaen"/>
          <w:sz w:val="24"/>
          <w:szCs w:val="24"/>
          <w:lang w:val="ru-RU"/>
        </w:rPr>
        <w:t>նախագծի</w:t>
      </w:r>
      <w:r w:rsidRPr="001E19BB">
        <w:rPr>
          <w:rFonts w:ascii="Sylfaen" w:hAnsi="Sylfaen"/>
          <w:sz w:val="24"/>
          <w:szCs w:val="24"/>
          <w:lang w:val="en-US"/>
        </w:rPr>
        <w:t xml:space="preserve"> </w:t>
      </w:r>
      <w:r w:rsidRPr="001E19BB">
        <w:rPr>
          <w:rFonts w:ascii="Sylfaen" w:hAnsi="Sylfaen"/>
          <w:sz w:val="24"/>
          <w:szCs w:val="24"/>
          <w:lang w:val="ru-RU"/>
        </w:rPr>
        <w:t>մասին</w:t>
      </w:r>
      <w:r w:rsidRPr="001E19BB">
        <w:rPr>
          <w:rFonts w:ascii="Sylfaen" w:hAnsi="Sylfaen"/>
          <w:sz w:val="24"/>
          <w:szCs w:val="24"/>
          <w:lang w:val="en-US"/>
        </w:rPr>
        <w:t xml:space="preserve">» </w:t>
      </w:r>
      <w:r w:rsidRPr="001E19BB">
        <w:rPr>
          <w:rFonts w:ascii="Sylfaen" w:hAnsi="Sylfaen"/>
          <w:sz w:val="24"/>
          <w:szCs w:val="24"/>
        </w:rPr>
        <w:t xml:space="preserve">2018 թվականի սեպտեմբերի 14-ի թիվ 36 </w:t>
      </w:r>
      <w:r w:rsidRPr="001E19BB">
        <w:rPr>
          <w:rFonts w:ascii="Sylfaen" w:hAnsi="Sylfaen"/>
          <w:sz w:val="24"/>
          <w:szCs w:val="24"/>
          <w:lang w:val="ru-RU"/>
        </w:rPr>
        <w:t>կարգադրության</w:t>
      </w:r>
      <w:r w:rsidRPr="001E19BB">
        <w:rPr>
          <w:rFonts w:ascii="Sylfaen" w:hAnsi="Sylfaen"/>
          <w:sz w:val="24"/>
          <w:szCs w:val="24"/>
          <w:lang w:val="en-US"/>
        </w:rPr>
        <w:t xml:space="preserve"> </w:t>
      </w:r>
      <w:r w:rsidRPr="001E19BB">
        <w:rPr>
          <w:rFonts w:ascii="Sylfaen" w:hAnsi="Sylfaen"/>
          <w:sz w:val="24"/>
          <w:szCs w:val="24"/>
        </w:rPr>
        <w:t>պատճենը (այսուհետ համապատասխանաբար՝ Համաձայնագրի նախագիծ, Հանձնաժողովի խորհրդի կարգադրություն):</w:t>
      </w:r>
    </w:p>
    <w:p w:rsidR="00D04EBA" w:rsidRPr="001E19BB" w:rsidRDefault="00D04EBA" w:rsidP="001E19BB">
      <w:pPr>
        <w:pStyle w:val="22"/>
        <w:shd w:val="clear" w:color="auto" w:fill="auto"/>
        <w:spacing w:after="160" w:line="360" w:lineRule="auto"/>
        <w:ind w:firstLine="580"/>
        <w:jc w:val="both"/>
        <w:rPr>
          <w:rFonts w:ascii="Sylfaen" w:hAnsi="Sylfaen"/>
          <w:sz w:val="24"/>
          <w:szCs w:val="24"/>
        </w:rPr>
      </w:pPr>
      <w:r w:rsidRPr="00F00B1B">
        <w:rPr>
          <w:rFonts w:ascii="Sylfaen" w:hAnsi="Sylfaen" w:cs="Sylfaen"/>
          <w:spacing w:val="-2"/>
          <w:sz w:val="24"/>
          <w:szCs w:val="24"/>
        </w:rPr>
        <w:t>Հանձնաժողովի խորհրդի կարգադրության 2-րդ կետին համապատասխան</w:t>
      </w:r>
      <w:r w:rsidR="00675075" w:rsidRPr="00F00B1B">
        <w:rPr>
          <w:rFonts w:ascii="Sylfaen" w:hAnsi="Sylfaen" w:cs="Sylfaen"/>
          <w:spacing w:val="-2"/>
          <w:sz w:val="24"/>
          <w:szCs w:val="24"/>
        </w:rPr>
        <w:t>`</w:t>
      </w:r>
      <w:r w:rsidRPr="00F00B1B">
        <w:rPr>
          <w:rFonts w:ascii="Sylfaen" w:hAnsi="Sylfaen" w:cs="Sylfaen"/>
          <w:spacing w:val="-2"/>
          <w:sz w:val="24"/>
          <w:szCs w:val="24"/>
        </w:rPr>
        <w:t xml:space="preserve"> խնդրում եմ Հայաստանի Հանրապետության լիազորված մարմիններին հանձնարարել անցկացնել</w:t>
      </w:r>
      <w:r w:rsidR="001E19BB" w:rsidRPr="00F00B1B">
        <w:rPr>
          <w:rFonts w:ascii="Sylfaen" w:hAnsi="Sylfaen" w:cs="Sylfaen"/>
          <w:spacing w:val="-2"/>
          <w:sz w:val="24"/>
          <w:szCs w:val="24"/>
        </w:rPr>
        <w:t xml:space="preserve"> </w:t>
      </w:r>
      <w:r w:rsidRPr="00F00B1B">
        <w:rPr>
          <w:rFonts w:ascii="Sylfaen" w:hAnsi="Sylfaen" w:cs="Sylfaen"/>
          <w:spacing w:val="-2"/>
          <w:sz w:val="24"/>
          <w:szCs w:val="24"/>
        </w:rPr>
        <w:t>Համաձայնագրի նախագծի ստորագրման համար անհրաժեշտ ներպետական</w:t>
      </w:r>
      <w:r w:rsidRPr="001E19BB">
        <w:rPr>
          <w:rFonts w:ascii="Sylfaen" w:hAnsi="Sylfaen" w:cs="Sylfaen"/>
          <w:sz w:val="24"/>
          <w:szCs w:val="24"/>
        </w:rPr>
        <w:t xml:space="preserve"> ընթացակարգերը </w:t>
      </w:r>
      <w:r w:rsidR="001E19BB">
        <w:rPr>
          <w:rFonts w:ascii="Sylfaen" w:hAnsi="Sylfaen" w:cs="Sylfaen"/>
          <w:sz w:val="24"/>
          <w:szCs w:val="24"/>
        </w:rPr>
        <w:t>եւ</w:t>
      </w:r>
      <w:r w:rsidRPr="001E19BB">
        <w:rPr>
          <w:rFonts w:ascii="Sylfaen" w:hAnsi="Sylfaen" w:cs="Sylfaen"/>
          <w:sz w:val="24"/>
          <w:szCs w:val="24"/>
        </w:rPr>
        <w:t xml:space="preserve"> մինչ</w:t>
      </w:r>
      <w:r w:rsidR="001E19BB">
        <w:rPr>
          <w:rFonts w:ascii="Sylfaen" w:hAnsi="Sylfaen" w:cs="Sylfaen"/>
          <w:sz w:val="24"/>
          <w:szCs w:val="24"/>
        </w:rPr>
        <w:t>եւ</w:t>
      </w:r>
      <w:r w:rsidRPr="001E19BB">
        <w:rPr>
          <w:rFonts w:ascii="Sylfaen" w:hAnsi="Sylfaen" w:cs="Sylfaen"/>
          <w:sz w:val="24"/>
          <w:szCs w:val="24"/>
        </w:rPr>
        <w:t xml:space="preserve"> 2019 թվականի հունիսի 7-ը Հանձնաժողովին տեղեկացնել դրանց անցկացման արդյունքների մասին:</w:t>
      </w:r>
    </w:p>
    <w:p w:rsidR="00D04EBA" w:rsidRPr="001E19BB" w:rsidRDefault="00D04EBA" w:rsidP="001E19BB">
      <w:pPr>
        <w:pStyle w:val="22"/>
        <w:shd w:val="clear" w:color="auto" w:fill="auto"/>
        <w:spacing w:after="160" w:line="360" w:lineRule="auto"/>
        <w:ind w:firstLine="580"/>
        <w:jc w:val="both"/>
        <w:rPr>
          <w:rFonts w:ascii="Sylfaen" w:hAnsi="Sylfaen"/>
          <w:sz w:val="24"/>
          <w:szCs w:val="24"/>
        </w:rPr>
      </w:pPr>
      <w:r w:rsidRPr="001E19BB">
        <w:rPr>
          <w:rFonts w:ascii="Sylfaen" w:hAnsi="Sylfaen"/>
          <w:sz w:val="24"/>
          <w:szCs w:val="24"/>
        </w:rPr>
        <w:lastRenderedPageBreak/>
        <w:t>Առդիր՝ 15 թերթի վրա՝ 1 օրինակից:</w:t>
      </w:r>
    </w:p>
    <w:p w:rsidR="00D04EBA" w:rsidRPr="001E19BB" w:rsidRDefault="00D04EBA" w:rsidP="001E19BB">
      <w:pPr>
        <w:pStyle w:val="22"/>
        <w:shd w:val="clear" w:color="auto" w:fill="auto"/>
        <w:spacing w:after="160" w:line="360" w:lineRule="auto"/>
        <w:ind w:firstLine="580"/>
        <w:jc w:val="both"/>
        <w:rPr>
          <w:rFonts w:ascii="Sylfaen" w:hAnsi="Sylfae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64"/>
        <w:gridCol w:w="2160"/>
        <w:gridCol w:w="3316"/>
      </w:tblGrid>
      <w:tr w:rsidR="00D04EBA" w:rsidRPr="001E19BB" w:rsidTr="00F00B1B">
        <w:trPr>
          <w:jc w:val="center"/>
        </w:trPr>
        <w:tc>
          <w:tcPr>
            <w:tcW w:w="4864" w:type="dxa"/>
            <w:shd w:val="clear" w:color="auto" w:fill="FFFFFF"/>
            <w:vAlign w:val="center"/>
          </w:tcPr>
          <w:p w:rsidR="00D04EBA" w:rsidRPr="001E19BB" w:rsidRDefault="00D04EBA" w:rsidP="00F00B1B">
            <w:pPr>
              <w:pStyle w:val="22"/>
              <w:shd w:val="clear" w:color="auto" w:fill="auto"/>
              <w:spacing w:after="160" w:line="360" w:lineRule="auto"/>
              <w:jc w:val="center"/>
              <w:rPr>
                <w:rFonts w:ascii="Sylfaen" w:hAnsi="Sylfaen"/>
                <w:sz w:val="24"/>
                <w:szCs w:val="24"/>
              </w:rPr>
            </w:pPr>
            <w:r w:rsidRPr="001E19BB">
              <w:rPr>
                <w:rFonts w:ascii="Sylfaen" w:hAnsi="Sylfaen"/>
                <w:sz w:val="24"/>
                <w:szCs w:val="24"/>
              </w:rPr>
              <w:t>Կոլեգիայի՝ տեխնիկական կանո</w:t>
            </w:r>
            <w:r w:rsidR="00395853" w:rsidRPr="001E19BB">
              <w:rPr>
                <w:rFonts w:ascii="Sylfaen" w:hAnsi="Sylfaen"/>
                <w:sz w:val="24"/>
                <w:szCs w:val="24"/>
              </w:rPr>
              <w:t>ն</w:t>
            </w:r>
            <w:r w:rsidRPr="001E19BB">
              <w:rPr>
                <w:rFonts w:ascii="Sylfaen" w:hAnsi="Sylfaen"/>
                <w:sz w:val="24"/>
                <w:szCs w:val="24"/>
              </w:rPr>
              <w:t xml:space="preserve">ակարգման հարցերով անդամ (նախարար)՝ </w:t>
            </w:r>
          </w:p>
        </w:tc>
        <w:tc>
          <w:tcPr>
            <w:tcW w:w="2160" w:type="dxa"/>
            <w:shd w:val="clear" w:color="auto" w:fill="FFFFFF"/>
            <w:vAlign w:val="center"/>
          </w:tcPr>
          <w:p w:rsidR="00D04EBA" w:rsidRPr="00F00B1B" w:rsidRDefault="00F00B1B" w:rsidP="00F00B1B">
            <w:pPr>
              <w:spacing w:after="160" w:line="360" w:lineRule="auto"/>
              <w:jc w:val="center"/>
              <w:rPr>
                <w:i/>
              </w:rPr>
            </w:pPr>
            <w:r w:rsidRPr="00F00B1B">
              <w:rPr>
                <w:i/>
              </w:rPr>
              <w:t>[ստորագրություն]</w:t>
            </w:r>
          </w:p>
        </w:tc>
        <w:tc>
          <w:tcPr>
            <w:tcW w:w="3316" w:type="dxa"/>
            <w:shd w:val="clear" w:color="auto" w:fill="FFFFFF"/>
            <w:vAlign w:val="bottom"/>
          </w:tcPr>
          <w:p w:rsidR="00D04EBA" w:rsidRPr="001E19BB" w:rsidRDefault="00D04EBA" w:rsidP="00F00B1B">
            <w:pPr>
              <w:pStyle w:val="22"/>
              <w:shd w:val="clear" w:color="auto" w:fill="auto"/>
              <w:spacing w:after="160" w:line="360" w:lineRule="auto"/>
              <w:ind w:right="380"/>
              <w:rPr>
                <w:rFonts w:ascii="Sylfaen" w:hAnsi="Sylfaen"/>
                <w:sz w:val="24"/>
                <w:szCs w:val="24"/>
              </w:rPr>
            </w:pPr>
            <w:r w:rsidRPr="001E19BB">
              <w:rPr>
                <w:rFonts w:ascii="Sylfaen" w:hAnsi="Sylfaen"/>
                <w:sz w:val="24"/>
                <w:szCs w:val="24"/>
              </w:rPr>
              <w:t>Վ.Վ. Նազարենկո</w:t>
            </w:r>
          </w:p>
        </w:tc>
      </w:tr>
    </w:tbl>
    <w:p w:rsidR="00D04EBA" w:rsidRPr="001E19BB" w:rsidRDefault="00D04EBA" w:rsidP="001E19BB">
      <w:pPr>
        <w:pStyle w:val="40"/>
        <w:shd w:val="clear" w:color="auto" w:fill="auto"/>
        <w:spacing w:before="0" w:after="160" w:line="360" w:lineRule="auto"/>
        <w:rPr>
          <w:rFonts w:ascii="Sylfaen" w:hAnsi="Sylfaen"/>
          <w:sz w:val="24"/>
          <w:szCs w:val="24"/>
        </w:rPr>
      </w:pPr>
    </w:p>
    <w:p w:rsidR="00D04EBA" w:rsidRPr="00F00B1B" w:rsidRDefault="00D04EBA" w:rsidP="001E19BB">
      <w:pPr>
        <w:pStyle w:val="40"/>
        <w:shd w:val="clear" w:color="auto" w:fill="auto"/>
        <w:spacing w:before="0" w:after="160" w:line="360" w:lineRule="auto"/>
        <w:rPr>
          <w:rFonts w:ascii="Sylfaen" w:hAnsi="Sylfaen"/>
          <w:sz w:val="20"/>
          <w:szCs w:val="24"/>
        </w:rPr>
      </w:pPr>
      <w:r w:rsidRPr="00F00B1B">
        <w:rPr>
          <w:rFonts w:ascii="Sylfaen" w:hAnsi="Sylfaen"/>
          <w:sz w:val="20"/>
          <w:szCs w:val="24"/>
        </w:rPr>
        <w:t>Ա.Ա. Իշ</w:t>
      </w:r>
      <w:r w:rsidR="001E19BB" w:rsidRPr="00F00B1B">
        <w:rPr>
          <w:rFonts w:ascii="Sylfaen" w:hAnsi="Sylfaen"/>
          <w:sz w:val="20"/>
          <w:szCs w:val="24"/>
        </w:rPr>
        <w:t>եւ</w:t>
      </w:r>
      <w:r w:rsidRPr="00F00B1B">
        <w:rPr>
          <w:rFonts w:ascii="Sylfaen" w:hAnsi="Sylfaen"/>
          <w:sz w:val="20"/>
          <w:szCs w:val="24"/>
        </w:rPr>
        <w:t>սկայա</w:t>
      </w:r>
    </w:p>
    <w:p w:rsidR="00D04EBA" w:rsidRPr="00F00B1B" w:rsidRDefault="00D04EBA" w:rsidP="001E19BB">
      <w:pPr>
        <w:pStyle w:val="40"/>
        <w:shd w:val="clear" w:color="auto" w:fill="auto"/>
        <w:spacing w:before="0" w:after="160" w:line="360" w:lineRule="auto"/>
        <w:rPr>
          <w:rFonts w:ascii="Sylfaen" w:hAnsi="Sylfaen"/>
          <w:sz w:val="20"/>
          <w:szCs w:val="24"/>
        </w:rPr>
      </w:pPr>
      <w:r w:rsidRPr="00F00B1B">
        <w:rPr>
          <w:rFonts w:ascii="Sylfaen" w:hAnsi="Sylfaen"/>
          <w:sz w:val="20"/>
          <w:szCs w:val="24"/>
        </w:rPr>
        <w:t>8 (495) 669-24-00, լր. 51-54</w:t>
      </w:r>
    </w:p>
    <w:p w:rsidR="00D04EBA" w:rsidRPr="001E19BB" w:rsidRDefault="00D04EBA" w:rsidP="001E19BB">
      <w:pPr>
        <w:spacing w:after="160" w:line="360" w:lineRule="auto"/>
        <w:jc w:val="both"/>
        <w:rPr>
          <w:lang w:val="en-US"/>
        </w:rPr>
      </w:pPr>
    </w:p>
    <w:p w:rsidR="00F00B1B" w:rsidRDefault="00F00B1B" w:rsidP="001E19BB">
      <w:pPr>
        <w:spacing w:after="160" w:line="360" w:lineRule="auto"/>
        <w:jc w:val="both"/>
        <w:sectPr w:rsidR="00F00B1B" w:rsidSect="003A1C32">
          <w:footerReference w:type="default" r:id="rId10"/>
          <w:type w:val="continuous"/>
          <w:pgSz w:w="11900" w:h="16840" w:code="9"/>
          <w:pgMar w:top="1418" w:right="1418" w:bottom="1418" w:left="1418" w:header="0" w:footer="644" w:gutter="0"/>
          <w:cols w:space="720"/>
          <w:noEndnote/>
          <w:titlePg/>
          <w:docGrid w:linePitch="360"/>
        </w:sectPr>
      </w:pPr>
    </w:p>
    <w:p w:rsidR="006716DA" w:rsidRPr="001E19BB" w:rsidRDefault="006558D7" w:rsidP="00F00B1B">
      <w:pPr>
        <w:spacing w:after="160" w:line="360" w:lineRule="auto"/>
        <w:jc w:val="center"/>
      </w:pPr>
      <w:r w:rsidRPr="001E19BB">
        <w:rPr>
          <w:noProof/>
          <w:lang w:val="en-GB" w:eastAsia="en-GB" w:bidi="ar-SA"/>
        </w:rPr>
        <w:lastRenderedPageBreak/>
        <w:drawing>
          <wp:inline distT="0" distB="0" distL="0" distR="0">
            <wp:extent cx="1343025" cy="904875"/>
            <wp:effectExtent l="0" t="0" r="0" b="0"/>
            <wp:docPr id="1" name="Picture 1" descr="D:\HArmine\Documents\ARMINE HOVHANNISYAN\2019\revision_rasp_36\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mine\Documents\ARMINE HOVHANNISYAN\2019\revision_rasp_36\media\image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904875"/>
                    </a:xfrm>
                    <a:prstGeom prst="rect">
                      <a:avLst/>
                    </a:prstGeom>
                    <a:noFill/>
                    <a:ln>
                      <a:noFill/>
                    </a:ln>
                  </pic:spPr>
                </pic:pic>
              </a:graphicData>
            </a:graphic>
          </wp:inline>
        </w:drawing>
      </w:r>
    </w:p>
    <w:p w:rsidR="006716DA" w:rsidRPr="001E19BB" w:rsidRDefault="0011725C" w:rsidP="00F00B1B">
      <w:pPr>
        <w:pStyle w:val="Bodytext30"/>
        <w:shd w:val="clear" w:color="auto" w:fill="auto"/>
        <w:spacing w:after="160" w:line="360" w:lineRule="auto"/>
        <w:rPr>
          <w:rFonts w:ascii="Sylfaen" w:hAnsi="Sylfaen"/>
          <w:sz w:val="24"/>
          <w:szCs w:val="24"/>
        </w:rPr>
      </w:pPr>
      <w:r w:rsidRPr="001E19BB">
        <w:rPr>
          <w:rFonts w:ascii="Sylfaen" w:hAnsi="Sylfaen"/>
          <w:sz w:val="24"/>
          <w:szCs w:val="24"/>
        </w:rPr>
        <w:t>ԵՎՐԱՍԻԱԿԱՆ ՏՆՏԵՍԱԿԱՆ ՀԱՆՁՆԱԺՈՂՈՎ</w:t>
      </w:r>
    </w:p>
    <w:p w:rsidR="006716DA" w:rsidRPr="001E19BB" w:rsidRDefault="0011725C" w:rsidP="00F00B1B">
      <w:pPr>
        <w:pStyle w:val="Heading10"/>
        <w:shd w:val="clear" w:color="auto" w:fill="auto"/>
        <w:spacing w:before="0" w:after="160" w:line="360" w:lineRule="auto"/>
        <w:outlineLvl w:val="9"/>
        <w:rPr>
          <w:rFonts w:ascii="Sylfaen" w:hAnsi="Sylfaen"/>
          <w:sz w:val="24"/>
          <w:szCs w:val="24"/>
        </w:rPr>
      </w:pPr>
      <w:bookmarkStart w:id="2" w:name="bookmark1"/>
      <w:r w:rsidRPr="001E19BB">
        <w:rPr>
          <w:rFonts w:ascii="Sylfaen" w:hAnsi="Sylfaen"/>
          <w:sz w:val="24"/>
          <w:szCs w:val="24"/>
        </w:rPr>
        <w:t>ԽՈՐՀՈՒՐԴ</w:t>
      </w:r>
      <w:bookmarkEnd w:id="2"/>
    </w:p>
    <w:p w:rsidR="00D72C51" w:rsidRDefault="00F00B1B" w:rsidP="00F00B1B">
      <w:pPr>
        <w:pStyle w:val="Tablecaption0"/>
        <w:shd w:val="clear" w:color="auto" w:fill="auto"/>
        <w:spacing w:after="160" w:line="360" w:lineRule="auto"/>
        <w:rPr>
          <w:rStyle w:val="TablecaptionSpacing4pt"/>
          <w:rFonts w:ascii="Sylfaen" w:hAnsi="Sylfaen"/>
          <w:b/>
          <w:bCs/>
          <w:spacing w:val="0"/>
          <w:sz w:val="24"/>
          <w:szCs w:val="24"/>
        </w:rPr>
      </w:pPr>
      <w:r>
        <w:rPr>
          <w:rFonts w:ascii="Sylfaen" w:hAnsi="Sylfaen"/>
          <w:noProof/>
          <w:sz w:val="24"/>
          <w:szCs w:val="24"/>
          <w:lang w:val="en-GB" w:eastAsia="en-GB" w:bidi="ar-SA"/>
        </w:rPr>
        <w:drawing>
          <wp:inline distT="0" distB="0" distL="0" distR="0">
            <wp:extent cx="5755640" cy="114032"/>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755640" cy="114032"/>
                    </a:xfrm>
                    <a:prstGeom prst="rect">
                      <a:avLst/>
                    </a:prstGeom>
                    <a:noFill/>
                    <a:ln w="9525">
                      <a:noFill/>
                      <a:miter lim="800000"/>
                      <a:headEnd/>
                      <a:tailEnd/>
                    </a:ln>
                  </pic:spPr>
                </pic:pic>
              </a:graphicData>
            </a:graphic>
          </wp:inline>
        </w:drawing>
      </w:r>
    </w:p>
    <w:p w:rsidR="00F00B1B" w:rsidRPr="001E19BB" w:rsidRDefault="00F00B1B" w:rsidP="00F00B1B">
      <w:pPr>
        <w:pStyle w:val="Tablecaption0"/>
        <w:shd w:val="clear" w:color="auto" w:fill="auto"/>
        <w:spacing w:after="160" w:line="360" w:lineRule="auto"/>
        <w:rPr>
          <w:rStyle w:val="TablecaptionSpacing4pt"/>
          <w:rFonts w:ascii="Sylfaen" w:hAnsi="Sylfaen"/>
          <w:b/>
          <w:bCs/>
          <w:spacing w:val="0"/>
          <w:sz w:val="24"/>
          <w:szCs w:val="24"/>
        </w:rPr>
      </w:pPr>
    </w:p>
    <w:p w:rsidR="006716DA" w:rsidRPr="001E19BB" w:rsidRDefault="0011725C" w:rsidP="00F00B1B">
      <w:pPr>
        <w:pStyle w:val="Tablecaption0"/>
        <w:shd w:val="clear" w:color="auto" w:fill="auto"/>
        <w:spacing w:after="160" w:line="360" w:lineRule="auto"/>
        <w:rPr>
          <w:rFonts w:ascii="Sylfaen" w:hAnsi="Sylfaen"/>
          <w:sz w:val="24"/>
          <w:szCs w:val="24"/>
        </w:rPr>
      </w:pPr>
      <w:r w:rsidRPr="001E19BB">
        <w:rPr>
          <w:rStyle w:val="TablecaptionSpacing4pt"/>
          <w:rFonts w:ascii="Sylfaen" w:hAnsi="Sylfaen"/>
          <w:b/>
          <w:spacing w:val="0"/>
          <w:sz w:val="24"/>
          <w:szCs w:val="24"/>
        </w:rPr>
        <w:t>ԿԱՐԳԱԴՐՈՒԹՅՈՒՆ</w:t>
      </w:r>
    </w:p>
    <w:tbl>
      <w:tblPr>
        <w:tblOverlap w:val="never"/>
        <w:tblW w:w="9468" w:type="dxa"/>
        <w:jc w:val="center"/>
        <w:tblLayout w:type="fixed"/>
        <w:tblCellMar>
          <w:left w:w="10" w:type="dxa"/>
          <w:right w:w="10" w:type="dxa"/>
        </w:tblCellMar>
        <w:tblLook w:val="04A0" w:firstRow="1" w:lastRow="0" w:firstColumn="1" w:lastColumn="0" w:noHBand="0" w:noVBand="1"/>
      </w:tblPr>
      <w:tblGrid>
        <w:gridCol w:w="3931"/>
        <w:gridCol w:w="1658"/>
        <w:gridCol w:w="3879"/>
      </w:tblGrid>
      <w:tr w:rsidR="006716DA" w:rsidRPr="001E19BB" w:rsidTr="00D72C51">
        <w:trPr>
          <w:jc w:val="center"/>
        </w:trPr>
        <w:tc>
          <w:tcPr>
            <w:tcW w:w="3931" w:type="dxa"/>
            <w:shd w:val="clear" w:color="auto" w:fill="FFFFFF"/>
            <w:vAlign w:val="center"/>
          </w:tcPr>
          <w:p w:rsidR="006716DA" w:rsidRPr="001E19BB" w:rsidRDefault="00DD4D00" w:rsidP="00F00B1B">
            <w:pPr>
              <w:pStyle w:val="Bodytext20"/>
              <w:shd w:val="clear" w:color="auto" w:fill="auto"/>
              <w:spacing w:after="160" w:line="360" w:lineRule="auto"/>
              <w:ind w:left="50"/>
              <w:rPr>
                <w:rFonts w:ascii="Sylfaen" w:hAnsi="Sylfaen"/>
                <w:sz w:val="24"/>
                <w:szCs w:val="24"/>
              </w:rPr>
            </w:pPr>
            <w:r w:rsidRPr="001E19BB">
              <w:rPr>
                <w:rFonts w:ascii="Sylfaen" w:hAnsi="Sylfaen"/>
                <w:sz w:val="24"/>
                <w:szCs w:val="24"/>
              </w:rPr>
              <w:t xml:space="preserve">14 սեպտեմբերի </w:t>
            </w:r>
            <w:r w:rsidR="0032597C" w:rsidRPr="001E19BB">
              <w:rPr>
                <w:rFonts w:ascii="Sylfaen" w:hAnsi="Sylfaen"/>
                <w:sz w:val="24"/>
                <w:szCs w:val="24"/>
              </w:rPr>
              <w:t>20</w:t>
            </w:r>
            <w:r w:rsidRPr="001E19BB">
              <w:rPr>
                <w:rFonts w:ascii="Sylfaen" w:hAnsi="Sylfaen"/>
                <w:sz w:val="24"/>
                <w:szCs w:val="24"/>
              </w:rPr>
              <w:t>18</w:t>
            </w:r>
            <w:r w:rsidR="0032597C" w:rsidRPr="001E19BB">
              <w:rPr>
                <w:rFonts w:ascii="Sylfaen" w:hAnsi="Sylfaen"/>
                <w:sz w:val="24"/>
                <w:szCs w:val="24"/>
              </w:rPr>
              <w:t xml:space="preserve"> թվականի</w:t>
            </w:r>
          </w:p>
        </w:tc>
        <w:tc>
          <w:tcPr>
            <w:tcW w:w="1658" w:type="dxa"/>
            <w:shd w:val="clear" w:color="auto" w:fill="FFFFFF"/>
            <w:vAlign w:val="center"/>
          </w:tcPr>
          <w:p w:rsidR="006716DA" w:rsidRPr="001E19BB" w:rsidRDefault="0011725C" w:rsidP="00F00B1B">
            <w:pPr>
              <w:pStyle w:val="Bodytext20"/>
              <w:shd w:val="clear" w:color="auto" w:fill="auto"/>
              <w:spacing w:after="160" w:line="360" w:lineRule="auto"/>
              <w:jc w:val="center"/>
              <w:rPr>
                <w:rFonts w:ascii="Sylfaen" w:hAnsi="Sylfaen"/>
                <w:sz w:val="24"/>
                <w:szCs w:val="24"/>
              </w:rPr>
            </w:pPr>
            <w:r w:rsidRPr="001E19BB">
              <w:rPr>
                <w:rStyle w:val="Bodytext2Bold"/>
                <w:rFonts w:ascii="Sylfaen" w:hAnsi="Sylfaen"/>
                <w:sz w:val="24"/>
                <w:szCs w:val="24"/>
              </w:rPr>
              <w:t>թիվ</w:t>
            </w:r>
            <w:r w:rsidR="00DD4D00" w:rsidRPr="001E19BB">
              <w:rPr>
                <w:rStyle w:val="Bodytext2Bold"/>
                <w:rFonts w:ascii="Sylfaen" w:hAnsi="Sylfaen"/>
                <w:sz w:val="24"/>
                <w:szCs w:val="24"/>
              </w:rPr>
              <w:t xml:space="preserve"> 36</w:t>
            </w:r>
          </w:p>
        </w:tc>
        <w:tc>
          <w:tcPr>
            <w:tcW w:w="3879" w:type="dxa"/>
            <w:shd w:val="clear" w:color="auto" w:fill="FFFFFF"/>
            <w:vAlign w:val="center"/>
          </w:tcPr>
          <w:p w:rsidR="006716DA" w:rsidRPr="001E19BB" w:rsidRDefault="0011725C" w:rsidP="00F00B1B">
            <w:pPr>
              <w:pStyle w:val="Bodytext20"/>
              <w:shd w:val="clear" w:color="auto" w:fill="auto"/>
              <w:spacing w:after="160" w:line="360" w:lineRule="auto"/>
              <w:ind w:right="325"/>
              <w:jc w:val="right"/>
              <w:rPr>
                <w:rFonts w:ascii="Sylfaen" w:hAnsi="Sylfaen"/>
                <w:sz w:val="24"/>
                <w:szCs w:val="24"/>
              </w:rPr>
            </w:pPr>
            <w:r w:rsidRPr="001E19BB">
              <w:rPr>
                <w:rFonts w:ascii="Sylfaen" w:hAnsi="Sylfaen"/>
                <w:sz w:val="24"/>
                <w:szCs w:val="24"/>
              </w:rPr>
              <w:t>քաղ.</w:t>
            </w:r>
            <w:r w:rsidR="00DD4D00" w:rsidRPr="001E19BB">
              <w:rPr>
                <w:rFonts w:ascii="Sylfaen" w:hAnsi="Sylfaen"/>
                <w:sz w:val="24"/>
                <w:szCs w:val="24"/>
              </w:rPr>
              <w:t xml:space="preserve"> Մոսկվա</w:t>
            </w:r>
          </w:p>
        </w:tc>
      </w:tr>
    </w:tbl>
    <w:p w:rsidR="006716DA" w:rsidRPr="001E19BB" w:rsidRDefault="006716DA" w:rsidP="001E19BB">
      <w:pPr>
        <w:spacing w:after="160" w:line="360" w:lineRule="auto"/>
        <w:jc w:val="both"/>
      </w:pPr>
    </w:p>
    <w:p w:rsidR="006716DA" w:rsidRPr="001E19BB" w:rsidRDefault="0011725C" w:rsidP="00F00B1B">
      <w:pPr>
        <w:pStyle w:val="Bodytext30"/>
        <w:shd w:val="clear" w:color="auto" w:fill="auto"/>
        <w:spacing w:after="160" w:line="360" w:lineRule="auto"/>
        <w:rPr>
          <w:rFonts w:ascii="Sylfaen" w:hAnsi="Sylfaen"/>
          <w:sz w:val="24"/>
          <w:szCs w:val="24"/>
        </w:rPr>
      </w:pPr>
      <w:r w:rsidRPr="001E19BB">
        <w:rPr>
          <w:rFonts w:ascii="Sylfaen" w:hAnsi="Sylfaen"/>
          <w:sz w:val="24"/>
          <w:szCs w:val="24"/>
        </w:rPr>
        <w:t xml:space="preserve">«Նշված ոլորտում Եվրասիական տնտեսական միության անդամ պետությունների օրենսդրության ներդաշնակեցման նպատակով՝ Եվրասիական տնտեսական միության տեխնիկական կանոնակարգերի պահանջների պահպանման նկատմամբ պետական հսկողություն (վերահսկողություն) իրականացնելու սկզբունքների ու մոտեցումների մասին» համաձայնագրի նախագծի </w:t>
      </w:r>
      <w:r w:rsidR="00703980" w:rsidRPr="001E19BB">
        <w:rPr>
          <w:rFonts w:ascii="Sylfaen" w:hAnsi="Sylfaen"/>
          <w:sz w:val="24"/>
          <w:szCs w:val="24"/>
        </w:rPr>
        <w:t>մասին</w:t>
      </w:r>
    </w:p>
    <w:p w:rsidR="006716DA" w:rsidRPr="001E19BB" w:rsidRDefault="006716DA" w:rsidP="001E19BB">
      <w:pPr>
        <w:spacing w:after="160" w:line="360" w:lineRule="auto"/>
        <w:jc w:val="both"/>
      </w:pPr>
    </w:p>
    <w:p w:rsidR="006716DA" w:rsidRDefault="00D4468A" w:rsidP="00F00B1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F00B1B">
        <w:rPr>
          <w:rFonts w:ascii="Sylfaen" w:hAnsi="Sylfaen"/>
          <w:sz w:val="24"/>
          <w:szCs w:val="24"/>
        </w:rPr>
        <w:tab/>
      </w:r>
      <w:r w:rsidRPr="001E19BB">
        <w:rPr>
          <w:rFonts w:ascii="Sylfaen" w:hAnsi="Sylfaen"/>
          <w:sz w:val="24"/>
          <w:szCs w:val="24"/>
        </w:rPr>
        <w:t>Հավանություն տալ «Նշված ոլորտում Եվրասիական տնտեսական միության անդամ պետությունների օրենսդրության ներդաշնակեցման նպատակով՝ Եվրասիական տնտեսական միության տեխնիկական կանոնակարգերի պահանջների պահպանման նկատմամբ պետական հսկողություն (վերահսկողություն) իրականացնելու սկզբունքների ու մոտեցումների մասին» համաձայնագրի նախագծին (կցվում է) եւ ուղարկել այն Եվրասիական տնտեսական միության անդամ պետություններ՝ ներպետական ընթացակարգեր իրականացնելու համար:</w:t>
      </w:r>
    </w:p>
    <w:p w:rsidR="00F00B1B" w:rsidRPr="001E19BB" w:rsidRDefault="00F00B1B" w:rsidP="001E19BB">
      <w:pPr>
        <w:pStyle w:val="Bodytext20"/>
        <w:shd w:val="clear" w:color="auto" w:fill="auto"/>
        <w:spacing w:after="160" w:line="360" w:lineRule="auto"/>
        <w:ind w:firstLine="567"/>
        <w:jc w:val="both"/>
        <w:rPr>
          <w:rFonts w:ascii="Sylfaen" w:hAnsi="Sylfaen"/>
          <w:sz w:val="24"/>
          <w:szCs w:val="24"/>
        </w:rPr>
      </w:pPr>
    </w:p>
    <w:p w:rsidR="006716DA" w:rsidRPr="001E19BB" w:rsidRDefault="00D4468A" w:rsidP="00F00B1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lastRenderedPageBreak/>
        <w:t>2.</w:t>
      </w:r>
      <w:r w:rsidR="00F00B1B">
        <w:rPr>
          <w:rFonts w:ascii="Sylfaen" w:hAnsi="Sylfaen"/>
          <w:sz w:val="24"/>
          <w:szCs w:val="24"/>
        </w:rPr>
        <w:tab/>
      </w:r>
      <w:r w:rsidRPr="001E19BB">
        <w:rPr>
          <w:rFonts w:ascii="Sylfaen" w:hAnsi="Sylfaen"/>
          <w:sz w:val="24"/>
          <w:szCs w:val="24"/>
        </w:rPr>
        <w:t xml:space="preserve">Դիմել Եվրասիական տնտեսական միության անդամ պետություններին՝ սույն կարգադրության 1-ին կետում նշված Համաձայնագրի ստորագրման համար անհրաժեշտ ներպետական ընթացակարգերը կատարելու մասին Եվրասիական տնտեսական հանձնաժողովին </w:t>
      </w:r>
      <w:r w:rsidR="00D21DE0" w:rsidRPr="001E19BB">
        <w:rPr>
          <w:rFonts w:ascii="Sylfaen" w:hAnsi="Sylfaen"/>
          <w:sz w:val="24"/>
          <w:szCs w:val="24"/>
        </w:rPr>
        <w:t xml:space="preserve">սույն կարգադրությունն ուժի մեջ մտնելու օրվանից 180 օրացուցային օրվա ընթացքում </w:t>
      </w:r>
      <w:r w:rsidRPr="001E19BB">
        <w:rPr>
          <w:rFonts w:ascii="Sylfaen" w:hAnsi="Sylfaen"/>
          <w:sz w:val="24"/>
          <w:szCs w:val="24"/>
        </w:rPr>
        <w:t>տեղեկացնելու խնդրանքով:</w:t>
      </w:r>
    </w:p>
    <w:p w:rsidR="006716DA" w:rsidRPr="001E19BB" w:rsidRDefault="00D4468A" w:rsidP="00F00B1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3.</w:t>
      </w:r>
      <w:r w:rsidR="00F00B1B">
        <w:rPr>
          <w:rFonts w:ascii="Sylfaen" w:hAnsi="Sylfaen"/>
          <w:sz w:val="24"/>
          <w:szCs w:val="24"/>
        </w:rPr>
        <w:tab/>
      </w:r>
      <w:r w:rsidRPr="001E19BB">
        <w:rPr>
          <w:rFonts w:ascii="Sylfaen" w:hAnsi="Sylfaen"/>
          <w:sz w:val="24"/>
          <w:szCs w:val="24"/>
        </w:rPr>
        <w:t>Սույն կարգադրությունն ուժի մեջ է մտնում Եվրասիական տնտեսական միության պաշտոնական կայքում դրա հրապարակման օրվանից:</w:t>
      </w:r>
    </w:p>
    <w:p w:rsidR="0032597C" w:rsidRPr="001E19BB" w:rsidRDefault="0032597C" w:rsidP="001E19BB">
      <w:pPr>
        <w:pStyle w:val="Bodytext30"/>
        <w:shd w:val="clear" w:color="auto" w:fill="auto"/>
        <w:spacing w:after="160" w:line="360" w:lineRule="auto"/>
        <w:jc w:val="both"/>
        <w:rPr>
          <w:rFonts w:ascii="Sylfaen" w:hAnsi="Sylfaen"/>
          <w:sz w:val="24"/>
          <w:szCs w:val="24"/>
        </w:rPr>
      </w:pPr>
    </w:p>
    <w:p w:rsidR="0032597C" w:rsidRPr="001E19BB" w:rsidRDefault="0011725C" w:rsidP="00F00B1B">
      <w:pPr>
        <w:pStyle w:val="Bodytext30"/>
        <w:shd w:val="clear" w:color="auto" w:fill="auto"/>
        <w:spacing w:after="160" w:line="360" w:lineRule="auto"/>
        <w:rPr>
          <w:rFonts w:ascii="Sylfaen" w:hAnsi="Sylfaen"/>
          <w:sz w:val="24"/>
          <w:szCs w:val="24"/>
        </w:rPr>
      </w:pPr>
      <w:r w:rsidRPr="001E19BB">
        <w:rPr>
          <w:rFonts w:ascii="Sylfaen" w:hAnsi="Sylfaen"/>
          <w:sz w:val="24"/>
          <w:szCs w:val="24"/>
        </w:rPr>
        <w:t>Եվրասիական տնտեսական հանձնաժողովի խորհրդի անդամներ՝</w:t>
      </w:r>
    </w:p>
    <w:tbl>
      <w:tblPr>
        <w:tblOverlap w:val="never"/>
        <w:tblW w:w="11188" w:type="dxa"/>
        <w:jc w:val="center"/>
        <w:tblLayout w:type="fixed"/>
        <w:tblCellMar>
          <w:left w:w="10" w:type="dxa"/>
          <w:right w:w="10" w:type="dxa"/>
        </w:tblCellMar>
        <w:tblLook w:val="04A0" w:firstRow="1" w:lastRow="0" w:firstColumn="1" w:lastColumn="0" w:noHBand="0" w:noVBand="1"/>
      </w:tblPr>
      <w:tblGrid>
        <w:gridCol w:w="2470"/>
        <w:gridCol w:w="2367"/>
        <w:gridCol w:w="2370"/>
        <w:gridCol w:w="2268"/>
        <w:gridCol w:w="1713"/>
      </w:tblGrid>
      <w:tr w:rsidR="00204E05" w:rsidRPr="001E19BB" w:rsidTr="00F00B1B">
        <w:trPr>
          <w:jc w:val="center"/>
        </w:trPr>
        <w:tc>
          <w:tcPr>
            <w:tcW w:w="2470" w:type="dxa"/>
            <w:shd w:val="clear" w:color="auto" w:fill="FFFFFF"/>
            <w:vAlign w:val="center"/>
          </w:tcPr>
          <w:p w:rsidR="00204E05" w:rsidRPr="00F00B1B" w:rsidRDefault="00204E05"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Հայաստանի Հանրապետությունից՝</w:t>
            </w:r>
          </w:p>
        </w:tc>
        <w:tc>
          <w:tcPr>
            <w:tcW w:w="2367" w:type="dxa"/>
            <w:shd w:val="clear" w:color="auto" w:fill="FFFFFF"/>
            <w:vAlign w:val="center"/>
          </w:tcPr>
          <w:p w:rsidR="00204E05" w:rsidRPr="00F00B1B" w:rsidRDefault="00204E05"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Բելառուսի Հանրապետությունից՝</w:t>
            </w:r>
          </w:p>
        </w:tc>
        <w:tc>
          <w:tcPr>
            <w:tcW w:w="2370" w:type="dxa"/>
            <w:shd w:val="clear" w:color="auto" w:fill="FFFFFF"/>
            <w:vAlign w:val="center"/>
          </w:tcPr>
          <w:p w:rsidR="00204E05" w:rsidRPr="00F00B1B" w:rsidRDefault="00204E05"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Ղազախստանի Հանրապետությունից՝</w:t>
            </w:r>
          </w:p>
        </w:tc>
        <w:tc>
          <w:tcPr>
            <w:tcW w:w="2268" w:type="dxa"/>
            <w:shd w:val="clear" w:color="auto" w:fill="FFFFFF"/>
            <w:vAlign w:val="center"/>
          </w:tcPr>
          <w:p w:rsidR="00204E05" w:rsidRPr="00F00B1B" w:rsidRDefault="00204E05"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Ղրղզստանի Հանրապետությունից՝</w:t>
            </w:r>
          </w:p>
        </w:tc>
        <w:tc>
          <w:tcPr>
            <w:tcW w:w="1713" w:type="dxa"/>
            <w:shd w:val="clear" w:color="auto" w:fill="FFFFFF"/>
            <w:vAlign w:val="center"/>
          </w:tcPr>
          <w:p w:rsidR="00204E05" w:rsidRPr="00F00B1B" w:rsidRDefault="00204E05"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Ռուսաստանի Դաշնությունից՝</w:t>
            </w:r>
          </w:p>
        </w:tc>
      </w:tr>
      <w:tr w:rsidR="00204E05" w:rsidRPr="001E19BB" w:rsidTr="00F00B1B">
        <w:trPr>
          <w:jc w:val="center"/>
        </w:trPr>
        <w:tc>
          <w:tcPr>
            <w:tcW w:w="2470" w:type="dxa"/>
            <w:shd w:val="clear" w:color="auto" w:fill="FFFFFF"/>
            <w:vAlign w:val="center"/>
          </w:tcPr>
          <w:p w:rsidR="00204E05" w:rsidRPr="00F00B1B" w:rsidRDefault="00204E05" w:rsidP="00F00B1B">
            <w:pPr>
              <w:spacing w:after="160" w:line="360" w:lineRule="auto"/>
              <w:jc w:val="center"/>
              <w:rPr>
                <w:sz w:val="22"/>
              </w:rPr>
            </w:pPr>
          </w:p>
        </w:tc>
        <w:tc>
          <w:tcPr>
            <w:tcW w:w="2367" w:type="dxa"/>
            <w:shd w:val="clear" w:color="auto" w:fill="FFFFFF"/>
            <w:vAlign w:val="center"/>
          </w:tcPr>
          <w:p w:rsidR="00204E05" w:rsidRPr="00F00B1B" w:rsidRDefault="00204E05" w:rsidP="00F00B1B">
            <w:pPr>
              <w:spacing w:after="160" w:line="360" w:lineRule="auto"/>
              <w:jc w:val="center"/>
              <w:rPr>
                <w:sz w:val="22"/>
              </w:rPr>
            </w:pPr>
          </w:p>
        </w:tc>
        <w:tc>
          <w:tcPr>
            <w:tcW w:w="2370" w:type="dxa"/>
            <w:shd w:val="clear" w:color="auto" w:fill="FFFFFF"/>
            <w:vAlign w:val="center"/>
          </w:tcPr>
          <w:p w:rsidR="00204E05" w:rsidRPr="00F00B1B" w:rsidRDefault="00204E05" w:rsidP="00F00B1B">
            <w:pPr>
              <w:spacing w:after="160" w:line="360" w:lineRule="auto"/>
              <w:jc w:val="center"/>
              <w:rPr>
                <w:sz w:val="22"/>
              </w:rPr>
            </w:pPr>
          </w:p>
        </w:tc>
        <w:tc>
          <w:tcPr>
            <w:tcW w:w="2268" w:type="dxa"/>
            <w:shd w:val="clear" w:color="auto" w:fill="FFFFFF"/>
            <w:vAlign w:val="center"/>
          </w:tcPr>
          <w:p w:rsidR="00204E05" w:rsidRPr="00F00B1B" w:rsidRDefault="00204E05" w:rsidP="00F00B1B">
            <w:pPr>
              <w:spacing w:after="160" w:line="360" w:lineRule="auto"/>
              <w:jc w:val="center"/>
              <w:rPr>
                <w:sz w:val="22"/>
              </w:rPr>
            </w:pPr>
          </w:p>
        </w:tc>
        <w:tc>
          <w:tcPr>
            <w:tcW w:w="1713" w:type="dxa"/>
            <w:shd w:val="clear" w:color="auto" w:fill="FFFFFF"/>
            <w:vAlign w:val="center"/>
          </w:tcPr>
          <w:p w:rsidR="00204E05" w:rsidRPr="00F00B1B" w:rsidRDefault="00204E05" w:rsidP="00F00B1B">
            <w:pPr>
              <w:spacing w:after="160" w:line="360" w:lineRule="auto"/>
              <w:jc w:val="center"/>
              <w:rPr>
                <w:sz w:val="22"/>
              </w:rPr>
            </w:pPr>
          </w:p>
        </w:tc>
      </w:tr>
      <w:tr w:rsidR="00204E05" w:rsidRPr="001E19BB" w:rsidTr="00F00B1B">
        <w:trPr>
          <w:jc w:val="center"/>
        </w:trPr>
        <w:tc>
          <w:tcPr>
            <w:tcW w:w="2470" w:type="dxa"/>
            <w:shd w:val="clear" w:color="auto" w:fill="FFFFFF"/>
            <w:vAlign w:val="center"/>
          </w:tcPr>
          <w:p w:rsidR="00204E05" w:rsidRPr="00F00B1B" w:rsidRDefault="00D21DE0"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Մ</w:t>
            </w:r>
            <w:r w:rsidR="00204E05" w:rsidRPr="00F00B1B">
              <w:rPr>
                <w:rStyle w:val="Bodytext213pt"/>
                <w:rFonts w:ascii="Sylfaen" w:hAnsi="Sylfaen"/>
                <w:sz w:val="22"/>
                <w:szCs w:val="24"/>
              </w:rPr>
              <w:t xml:space="preserve">. </w:t>
            </w:r>
            <w:r w:rsidRPr="00F00B1B">
              <w:rPr>
                <w:rStyle w:val="Bodytext213pt"/>
                <w:rFonts w:ascii="Sylfaen" w:hAnsi="Sylfaen"/>
                <w:sz w:val="22"/>
                <w:szCs w:val="24"/>
              </w:rPr>
              <w:t>Գրիգորյան</w:t>
            </w:r>
          </w:p>
        </w:tc>
        <w:tc>
          <w:tcPr>
            <w:tcW w:w="2367" w:type="dxa"/>
            <w:shd w:val="clear" w:color="auto" w:fill="FFFFFF"/>
            <w:vAlign w:val="center"/>
          </w:tcPr>
          <w:p w:rsidR="00204E05" w:rsidRPr="00F00B1B" w:rsidRDefault="00D21DE0"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Ի</w:t>
            </w:r>
            <w:r w:rsidR="00204E05" w:rsidRPr="00F00B1B">
              <w:rPr>
                <w:rStyle w:val="Bodytext213pt"/>
                <w:rFonts w:ascii="Sylfaen" w:hAnsi="Sylfaen"/>
                <w:sz w:val="22"/>
                <w:szCs w:val="24"/>
              </w:rPr>
              <w:t xml:space="preserve">. </w:t>
            </w:r>
            <w:r w:rsidRPr="00F00B1B">
              <w:rPr>
                <w:rStyle w:val="Bodytext213pt"/>
                <w:rFonts w:ascii="Sylfaen" w:hAnsi="Sylfaen"/>
                <w:sz w:val="22"/>
                <w:szCs w:val="24"/>
              </w:rPr>
              <w:t>Պետրիշենկո</w:t>
            </w:r>
          </w:p>
        </w:tc>
        <w:tc>
          <w:tcPr>
            <w:tcW w:w="2370" w:type="dxa"/>
            <w:shd w:val="clear" w:color="auto" w:fill="FFFFFF"/>
            <w:vAlign w:val="center"/>
          </w:tcPr>
          <w:p w:rsidR="00204E05" w:rsidRPr="00F00B1B" w:rsidRDefault="00204E05"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Ա. Մամին</w:t>
            </w:r>
          </w:p>
        </w:tc>
        <w:tc>
          <w:tcPr>
            <w:tcW w:w="2268" w:type="dxa"/>
            <w:shd w:val="clear" w:color="auto" w:fill="FFFFFF"/>
            <w:vAlign w:val="center"/>
          </w:tcPr>
          <w:p w:rsidR="00204E05" w:rsidRPr="00F00B1B" w:rsidRDefault="00D21DE0"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Ժ</w:t>
            </w:r>
            <w:r w:rsidR="00204E05" w:rsidRPr="00F00B1B">
              <w:rPr>
                <w:rStyle w:val="Bodytext213pt"/>
                <w:rFonts w:ascii="Sylfaen" w:hAnsi="Sylfaen"/>
                <w:sz w:val="22"/>
                <w:szCs w:val="24"/>
              </w:rPr>
              <w:t>.</w:t>
            </w:r>
            <w:r w:rsidRPr="00F00B1B">
              <w:rPr>
                <w:rStyle w:val="Bodytext213pt"/>
                <w:rFonts w:ascii="Sylfaen" w:hAnsi="Sylfaen"/>
                <w:sz w:val="22"/>
                <w:szCs w:val="24"/>
              </w:rPr>
              <w:t xml:space="preserve"> Ռազակով</w:t>
            </w:r>
          </w:p>
        </w:tc>
        <w:tc>
          <w:tcPr>
            <w:tcW w:w="1713" w:type="dxa"/>
            <w:shd w:val="clear" w:color="auto" w:fill="FFFFFF"/>
            <w:vAlign w:val="center"/>
          </w:tcPr>
          <w:p w:rsidR="00204E05" w:rsidRPr="00F00B1B" w:rsidRDefault="00D21DE0" w:rsidP="00F00B1B">
            <w:pPr>
              <w:pStyle w:val="Bodytext20"/>
              <w:shd w:val="clear" w:color="auto" w:fill="auto"/>
              <w:spacing w:after="160" w:line="360" w:lineRule="auto"/>
              <w:jc w:val="center"/>
              <w:rPr>
                <w:rFonts w:ascii="Sylfaen" w:hAnsi="Sylfaen"/>
                <w:sz w:val="22"/>
                <w:szCs w:val="24"/>
              </w:rPr>
            </w:pPr>
            <w:r w:rsidRPr="00F00B1B">
              <w:rPr>
                <w:rStyle w:val="Bodytext213pt"/>
                <w:rFonts w:ascii="Sylfaen" w:hAnsi="Sylfaen"/>
                <w:sz w:val="22"/>
                <w:szCs w:val="24"/>
              </w:rPr>
              <w:t>Ա</w:t>
            </w:r>
            <w:r w:rsidR="00204E05" w:rsidRPr="00F00B1B">
              <w:rPr>
                <w:rStyle w:val="Bodytext213pt"/>
                <w:rFonts w:ascii="Sylfaen" w:hAnsi="Sylfaen"/>
                <w:sz w:val="22"/>
                <w:szCs w:val="24"/>
              </w:rPr>
              <w:t xml:space="preserve">. </w:t>
            </w:r>
            <w:r w:rsidRPr="00F00B1B">
              <w:rPr>
                <w:rStyle w:val="Bodytext213pt"/>
                <w:rFonts w:ascii="Sylfaen" w:hAnsi="Sylfaen"/>
                <w:sz w:val="22"/>
                <w:szCs w:val="24"/>
              </w:rPr>
              <w:t>Սիլուանո</w:t>
            </w:r>
            <w:r w:rsidR="00DE470B" w:rsidRPr="00F00B1B">
              <w:rPr>
                <w:rStyle w:val="Bodytext213pt"/>
                <w:rFonts w:ascii="Sylfaen" w:hAnsi="Sylfaen"/>
                <w:sz w:val="22"/>
                <w:szCs w:val="24"/>
              </w:rPr>
              <w:t>վ</w:t>
            </w:r>
          </w:p>
        </w:tc>
      </w:tr>
    </w:tbl>
    <w:p w:rsidR="0032597C" w:rsidRPr="001E19BB" w:rsidRDefault="0032597C" w:rsidP="001E19BB">
      <w:pPr>
        <w:spacing w:after="160" w:line="360" w:lineRule="auto"/>
        <w:jc w:val="both"/>
      </w:pPr>
    </w:p>
    <w:p w:rsidR="00F00B1B" w:rsidRDefault="00F00B1B" w:rsidP="001E19BB">
      <w:pPr>
        <w:pStyle w:val="Bodytext20"/>
        <w:shd w:val="clear" w:color="auto" w:fill="auto"/>
        <w:spacing w:after="160" w:line="360" w:lineRule="auto"/>
        <w:jc w:val="both"/>
        <w:rPr>
          <w:rFonts w:ascii="Sylfaen" w:hAnsi="Sylfaen"/>
          <w:sz w:val="24"/>
          <w:szCs w:val="24"/>
        </w:rPr>
      </w:pPr>
    </w:p>
    <w:p w:rsidR="00F00B1B" w:rsidRDefault="00F00B1B" w:rsidP="001E19BB">
      <w:pPr>
        <w:pStyle w:val="Bodytext20"/>
        <w:shd w:val="clear" w:color="auto" w:fill="auto"/>
        <w:spacing w:after="160" w:line="360" w:lineRule="auto"/>
        <w:jc w:val="both"/>
        <w:rPr>
          <w:rFonts w:ascii="Sylfaen" w:hAnsi="Sylfaen"/>
          <w:sz w:val="24"/>
          <w:szCs w:val="24"/>
        </w:rPr>
        <w:sectPr w:rsidR="00F00B1B" w:rsidSect="003A1C32">
          <w:pgSz w:w="11900" w:h="16840" w:code="9"/>
          <w:pgMar w:top="1418" w:right="1418" w:bottom="1418" w:left="1418" w:header="0" w:footer="644" w:gutter="0"/>
          <w:pgNumType w:start="1"/>
          <w:cols w:space="720"/>
          <w:noEndnote/>
          <w:titlePg/>
          <w:docGrid w:linePitch="360"/>
        </w:sectPr>
      </w:pPr>
    </w:p>
    <w:p w:rsidR="006716DA" w:rsidRPr="001E19BB" w:rsidRDefault="0011725C" w:rsidP="00F00B1B">
      <w:pPr>
        <w:pStyle w:val="Bodytext20"/>
        <w:shd w:val="clear" w:color="auto" w:fill="auto"/>
        <w:spacing w:after="160" w:line="360" w:lineRule="auto"/>
        <w:jc w:val="right"/>
        <w:rPr>
          <w:rFonts w:ascii="Sylfaen" w:hAnsi="Sylfaen"/>
          <w:sz w:val="24"/>
          <w:szCs w:val="24"/>
        </w:rPr>
      </w:pPr>
      <w:r w:rsidRPr="001E19BB">
        <w:rPr>
          <w:rFonts w:ascii="Sylfaen" w:hAnsi="Sylfaen"/>
          <w:sz w:val="24"/>
          <w:szCs w:val="24"/>
        </w:rPr>
        <w:lastRenderedPageBreak/>
        <w:t>Նախագիծ</w:t>
      </w:r>
    </w:p>
    <w:p w:rsidR="006716DA" w:rsidRPr="001E19BB" w:rsidRDefault="006716DA" w:rsidP="00F00B1B">
      <w:pPr>
        <w:spacing w:after="160" w:line="360" w:lineRule="auto"/>
        <w:jc w:val="center"/>
      </w:pPr>
    </w:p>
    <w:p w:rsidR="006716DA" w:rsidRPr="001E19BB" w:rsidRDefault="0011725C" w:rsidP="00F00B1B">
      <w:pPr>
        <w:pStyle w:val="Bodytext30"/>
        <w:shd w:val="clear" w:color="auto" w:fill="auto"/>
        <w:spacing w:after="160" w:line="360" w:lineRule="auto"/>
        <w:rPr>
          <w:rFonts w:ascii="Sylfaen" w:hAnsi="Sylfaen"/>
          <w:sz w:val="24"/>
          <w:szCs w:val="24"/>
        </w:rPr>
      </w:pPr>
      <w:r w:rsidRPr="001E19BB">
        <w:rPr>
          <w:rStyle w:val="Bodytext3Spacing2pt"/>
          <w:rFonts w:ascii="Sylfaen" w:hAnsi="Sylfaen"/>
          <w:b/>
          <w:spacing w:val="0"/>
          <w:sz w:val="24"/>
          <w:szCs w:val="24"/>
        </w:rPr>
        <w:t>ՀԱՄԱՁԱՅՆԱԳԻՐ</w:t>
      </w:r>
    </w:p>
    <w:p w:rsidR="006716DA" w:rsidRPr="001E19BB" w:rsidRDefault="0011725C" w:rsidP="00F00B1B">
      <w:pPr>
        <w:pStyle w:val="Bodytext30"/>
        <w:shd w:val="clear" w:color="auto" w:fill="auto"/>
        <w:spacing w:after="160" w:line="360" w:lineRule="auto"/>
        <w:rPr>
          <w:rFonts w:ascii="Sylfaen" w:hAnsi="Sylfaen"/>
          <w:sz w:val="24"/>
          <w:szCs w:val="24"/>
        </w:rPr>
      </w:pPr>
      <w:r w:rsidRPr="001E19BB">
        <w:rPr>
          <w:rFonts w:ascii="Sylfaen" w:hAnsi="Sylfaen"/>
          <w:sz w:val="24"/>
          <w:szCs w:val="24"/>
        </w:rPr>
        <w:t>նշված ոլորտում Եվրասիական տնտեսական միության անդամ պետությունների օրենսդրության ներդաշնակեցման նպատակով՝ Եվրասիական տնտեսական միության տեխնիկական կանոնակարգերի պահանջների պահպանման նկատմամբ պետական հսկողություն (վերահսկողություն) իրականացնելու սկզբունքների ու մոտեցումների մասին</w:t>
      </w:r>
    </w:p>
    <w:p w:rsidR="006716DA" w:rsidRPr="001E19BB" w:rsidRDefault="006716DA" w:rsidP="008F0DF6">
      <w:pPr>
        <w:spacing w:after="160" w:line="360" w:lineRule="auto"/>
        <w:jc w:val="center"/>
      </w:pP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Եվրասիական տնտեսական միության անդամ պետությունները, այսուհետ՝ անդամ պետություններ,</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«Եվրասիական տնտեսական միության մասին» 2014 թվականի մայիսի 29-ի պայմանագրի 53-րդ հոդվածի 4-րդ կետի երկրորդ պարբերությանը համապատասխան՝</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ընդունելով Եվրասիական տնտեսական միության (այսուհետ՝ Միություն) տեխնիկական կանոնակարգերի պահանջների պահպանման նկատմամբ պետական հսկողության (վերահսկողության) ոլորտում անդամ պետությունների օրենսդրության մոտարկման անհրաժեշտությունը,</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կարեւորելով անդամ պետությունների տարածքներում անվտանգ արտադրանքի արտադրությունն ու շրջանառությունը,</w:t>
      </w:r>
    </w:p>
    <w:p w:rsidR="006716DA"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համաձայնեցին հետեւյալի մասին.</w:t>
      </w:r>
    </w:p>
    <w:p w:rsidR="00310B9B" w:rsidRPr="001E19BB" w:rsidRDefault="00310B9B" w:rsidP="001E19BB">
      <w:pPr>
        <w:pStyle w:val="Bodytext20"/>
        <w:shd w:val="clear" w:color="auto" w:fill="auto"/>
        <w:spacing w:after="160" w:line="360" w:lineRule="auto"/>
        <w:ind w:firstLine="567"/>
        <w:jc w:val="both"/>
        <w:rPr>
          <w:rFonts w:ascii="Sylfaen" w:hAnsi="Sylfaen"/>
          <w:sz w:val="24"/>
          <w:szCs w:val="24"/>
        </w:rPr>
      </w:pPr>
    </w:p>
    <w:p w:rsidR="008F0DF6" w:rsidRDefault="008F0DF6">
      <w:r>
        <w:br w:type="page"/>
      </w:r>
    </w:p>
    <w:p w:rsidR="006716DA" w:rsidRPr="001E19BB" w:rsidRDefault="0011725C" w:rsidP="008F0DF6">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lastRenderedPageBreak/>
        <w:t>Հոդված 1</w:t>
      </w:r>
    </w:p>
    <w:p w:rsidR="006716DA" w:rsidRPr="001E19BB" w:rsidRDefault="0011725C" w:rsidP="008F0DF6">
      <w:pPr>
        <w:pStyle w:val="Bodytext20"/>
        <w:shd w:val="clear" w:color="auto" w:fill="auto"/>
        <w:spacing w:after="160" w:line="336" w:lineRule="auto"/>
        <w:ind w:firstLine="567"/>
        <w:jc w:val="both"/>
        <w:rPr>
          <w:rFonts w:ascii="Sylfaen" w:hAnsi="Sylfaen"/>
          <w:sz w:val="24"/>
          <w:szCs w:val="24"/>
        </w:rPr>
      </w:pPr>
      <w:r w:rsidRPr="001E19BB">
        <w:rPr>
          <w:rFonts w:ascii="Sylfaen" w:hAnsi="Sylfaen"/>
          <w:sz w:val="24"/>
          <w:szCs w:val="24"/>
        </w:rPr>
        <w:t>Սույն համաձայնագրով սահմանվում են նշված ոլորտում անդամ պետությունների օրենսդրության ներդաշնակեցման նպատակով՝ անդամ պետություններում Միության տեխնիկական կանոնակարգերի պահանջների պահպանման նկատմամբ պետական հսկողություն (վերահսկողություն) (այսուհետ՝ պետական հսկողություն (վերահսկողություն)) իրականացնելու սկզբունքներն ու մոտեցումները:</w:t>
      </w:r>
    </w:p>
    <w:p w:rsidR="00204E05" w:rsidRPr="001E19BB" w:rsidRDefault="00204E05" w:rsidP="008F0DF6">
      <w:pPr>
        <w:pStyle w:val="Bodytext20"/>
        <w:shd w:val="clear" w:color="auto" w:fill="auto"/>
        <w:spacing w:after="160" w:line="336" w:lineRule="auto"/>
        <w:jc w:val="both"/>
        <w:rPr>
          <w:rFonts w:ascii="Sylfaen" w:hAnsi="Sylfaen"/>
          <w:sz w:val="24"/>
          <w:szCs w:val="24"/>
        </w:rPr>
      </w:pPr>
    </w:p>
    <w:p w:rsidR="006716DA" w:rsidRPr="001E19BB" w:rsidRDefault="0011725C" w:rsidP="008F0DF6">
      <w:pPr>
        <w:pStyle w:val="Bodytext20"/>
        <w:shd w:val="clear" w:color="auto" w:fill="auto"/>
        <w:spacing w:after="160" w:line="336" w:lineRule="auto"/>
        <w:jc w:val="center"/>
        <w:rPr>
          <w:rFonts w:ascii="Sylfaen" w:hAnsi="Sylfaen"/>
          <w:sz w:val="24"/>
          <w:szCs w:val="24"/>
        </w:rPr>
      </w:pPr>
      <w:r w:rsidRPr="001E19BB">
        <w:rPr>
          <w:rFonts w:ascii="Sylfaen" w:hAnsi="Sylfaen"/>
          <w:sz w:val="24"/>
          <w:szCs w:val="24"/>
        </w:rPr>
        <w:t>Հոդված 2</w:t>
      </w:r>
    </w:p>
    <w:p w:rsidR="006716DA" w:rsidRPr="001E19BB" w:rsidRDefault="0011725C" w:rsidP="008F0DF6">
      <w:pPr>
        <w:pStyle w:val="Bodytext20"/>
        <w:shd w:val="clear" w:color="auto" w:fill="auto"/>
        <w:spacing w:after="160" w:line="336" w:lineRule="auto"/>
        <w:ind w:firstLine="567"/>
        <w:jc w:val="both"/>
        <w:rPr>
          <w:rFonts w:ascii="Sylfaen" w:hAnsi="Sylfaen"/>
          <w:sz w:val="24"/>
          <w:szCs w:val="24"/>
        </w:rPr>
      </w:pPr>
      <w:r w:rsidRPr="001E19BB">
        <w:rPr>
          <w:rFonts w:ascii="Sylfaen" w:hAnsi="Sylfaen"/>
          <w:sz w:val="24"/>
          <w:szCs w:val="24"/>
        </w:rPr>
        <w:t xml:space="preserve">Միության տեխնիկական կանոնակարգերով արտադրանքի </w:t>
      </w:r>
      <w:r w:rsidR="001E19BB">
        <w:rPr>
          <w:rFonts w:ascii="Sylfaen" w:hAnsi="Sylfaen"/>
          <w:sz w:val="24"/>
          <w:szCs w:val="24"/>
        </w:rPr>
        <w:t>եւ</w:t>
      </w:r>
      <w:r w:rsidRPr="001E19BB">
        <w:rPr>
          <w:rFonts w:ascii="Sylfaen" w:hAnsi="Sylfaen"/>
          <w:sz w:val="24"/>
          <w:szCs w:val="24"/>
        </w:rPr>
        <w:t xml:space="preserve"> (կամ) արտադրանքին ներկայացվող պահանջների հետ կապված նախագծման (ներառյալ հետազննությունը), արտադր</w:t>
      </w:r>
      <w:r w:rsidR="0028488C" w:rsidRPr="001E19BB">
        <w:rPr>
          <w:rFonts w:ascii="Sylfaen" w:hAnsi="Sylfaen"/>
          <w:sz w:val="24"/>
          <w:szCs w:val="24"/>
        </w:rPr>
        <w:t>ության</w:t>
      </w:r>
      <w:r w:rsidRPr="001E19BB">
        <w:rPr>
          <w:rFonts w:ascii="Sylfaen" w:hAnsi="Sylfaen"/>
          <w:sz w:val="24"/>
          <w:szCs w:val="24"/>
        </w:rPr>
        <w:t xml:space="preserve">, կառուցման, մոնտաժման, կարգաբերման, շահագործման, պահպանման, փոխադրման, իրացման եւ ուտիլիզացման գործընթացների (այսուհետ՝ արտադրանքի կենսական ցիկլի փուլեր) վերաբերյալ սահմանված պարտադիր պահանջների պահպանումն իրավաբանական անձանց </w:t>
      </w:r>
      <w:r w:rsidR="001E19BB">
        <w:rPr>
          <w:rFonts w:ascii="Sylfaen" w:hAnsi="Sylfaen"/>
          <w:sz w:val="24"/>
          <w:szCs w:val="24"/>
        </w:rPr>
        <w:t>եւ</w:t>
      </w:r>
      <w:r w:rsidRPr="001E19BB">
        <w:rPr>
          <w:rFonts w:ascii="Sylfaen" w:hAnsi="Sylfaen"/>
          <w:sz w:val="24"/>
          <w:szCs w:val="24"/>
        </w:rPr>
        <w:t xml:space="preserve"> որպես անհատ ձեռնարկատեր գրանցված ֆիզիկական անձանց կողմից (այսուհետ՝ անհատ ձեռնարկատերեր) ենթակա է պետական հսկողության (վերահսկողության):</w:t>
      </w:r>
    </w:p>
    <w:p w:rsidR="006716DA" w:rsidRPr="001E19BB" w:rsidRDefault="0011725C" w:rsidP="008F0DF6">
      <w:pPr>
        <w:pStyle w:val="Bodytext20"/>
        <w:shd w:val="clear" w:color="auto" w:fill="auto"/>
        <w:spacing w:after="160" w:line="336" w:lineRule="auto"/>
        <w:ind w:firstLine="567"/>
        <w:jc w:val="both"/>
        <w:rPr>
          <w:rFonts w:ascii="Sylfaen" w:hAnsi="Sylfaen"/>
          <w:sz w:val="24"/>
          <w:szCs w:val="24"/>
        </w:rPr>
      </w:pPr>
      <w:r w:rsidRPr="001E19BB">
        <w:rPr>
          <w:rFonts w:ascii="Sylfaen" w:hAnsi="Sylfaen"/>
          <w:sz w:val="24"/>
          <w:szCs w:val="24"/>
        </w:rPr>
        <w:t>Միության տեխնիկական կանոնակարգերի պահանջների չպահ</w:t>
      </w:r>
      <w:r w:rsidR="00C24175" w:rsidRPr="001E19BB">
        <w:rPr>
          <w:rFonts w:ascii="Sylfaen" w:hAnsi="Sylfaen"/>
          <w:sz w:val="24"/>
          <w:szCs w:val="24"/>
        </w:rPr>
        <w:t>պանման համար պատասխանատվությունը,</w:t>
      </w:r>
      <w:r w:rsidRPr="001E19BB">
        <w:rPr>
          <w:rFonts w:ascii="Sylfaen" w:hAnsi="Sylfaen"/>
          <w:sz w:val="24"/>
          <w:szCs w:val="24"/>
        </w:rPr>
        <w:t xml:space="preserve"> արտադրանքի կենսական ցիկլի փուլից կախված</w:t>
      </w:r>
      <w:r w:rsidR="00C24175" w:rsidRPr="001E19BB">
        <w:rPr>
          <w:rFonts w:ascii="Sylfaen" w:hAnsi="Sylfaen"/>
          <w:sz w:val="24"/>
          <w:szCs w:val="24"/>
        </w:rPr>
        <w:t>,</w:t>
      </w:r>
      <w:r w:rsidRPr="001E19BB">
        <w:rPr>
          <w:rFonts w:ascii="Sylfaen" w:hAnsi="Sylfaen"/>
          <w:sz w:val="24"/>
          <w:szCs w:val="24"/>
        </w:rPr>
        <w:t xml:space="preserve"> կրում են իրավաբանական անձինք կամ անհատ ձեռնարկատերերը, այդ թվում՝ արտադրողները, արտադրողի կողմից լիազորված անձինք, ներմուծողները </w:t>
      </w:r>
      <w:r w:rsidR="001E19BB">
        <w:rPr>
          <w:rFonts w:ascii="Sylfaen" w:hAnsi="Sylfaen"/>
          <w:sz w:val="24"/>
          <w:szCs w:val="24"/>
        </w:rPr>
        <w:t>եւ</w:t>
      </w:r>
      <w:r w:rsidRPr="001E19BB">
        <w:rPr>
          <w:rFonts w:ascii="Sylfaen" w:hAnsi="Sylfaen"/>
          <w:sz w:val="24"/>
          <w:szCs w:val="24"/>
        </w:rPr>
        <w:t xml:space="preserve"> վաճառողները, որոնք իրականացնում են </w:t>
      </w:r>
      <w:r w:rsidR="00C24175" w:rsidRPr="001E19BB">
        <w:rPr>
          <w:rFonts w:ascii="Sylfaen" w:hAnsi="Sylfaen"/>
          <w:sz w:val="24"/>
          <w:szCs w:val="24"/>
        </w:rPr>
        <w:t xml:space="preserve">տեխնիկական կանոնակարգման օբյեկտների </w:t>
      </w:r>
      <w:r w:rsidRPr="001E19BB">
        <w:rPr>
          <w:rFonts w:ascii="Sylfaen" w:hAnsi="Sylfaen"/>
          <w:sz w:val="24"/>
          <w:szCs w:val="24"/>
        </w:rPr>
        <w:t xml:space="preserve">արտադրություն </w:t>
      </w:r>
      <w:r w:rsidR="001E19BB">
        <w:rPr>
          <w:rFonts w:ascii="Sylfaen" w:hAnsi="Sylfaen"/>
          <w:sz w:val="24"/>
          <w:szCs w:val="24"/>
        </w:rPr>
        <w:t>եւ</w:t>
      </w:r>
      <w:r w:rsidRPr="001E19BB">
        <w:rPr>
          <w:rFonts w:ascii="Sylfaen" w:hAnsi="Sylfaen"/>
          <w:sz w:val="24"/>
          <w:szCs w:val="24"/>
        </w:rPr>
        <w:t xml:space="preserve"> (կամ) համապատասխանության գնահատում, </w:t>
      </w:r>
      <w:r w:rsidR="001E19BB">
        <w:rPr>
          <w:rFonts w:ascii="Sylfaen" w:hAnsi="Sylfaen"/>
          <w:sz w:val="24"/>
          <w:szCs w:val="24"/>
        </w:rPr>
        <w:t>եւ</w:t>
      </w:r>
      <w:r w:rsidRPr="001E19BB">
        <w:rPr>
          <w:rFonts w:ascii="Sylfaen" w:hAnsi="Sylfaen"/>
          <w:sz w:val="24"/>
          <w:szCs w:val="24"/>
        </w:rPr>
        <w:t xml:space="preserve"> (կամ) </w:t>
      </w:r>
      <w:r w:rsidR="00C24175" w:rsidRPr="001E19BB">
        <w:rPr>
          <w:rFonts w:ascii="Sylfaen" w:hAnsi="Sylfaen"/>
          <w:sz w:val="24"/>
          <w:szCs w:val="24"/>
        </w:rPr>
        <w:t xml:space="preserve">արտադրանքի </w:t>
      </w:r>
      <w:r w:rsidRPr="001E19BB">
        <w:rPr>
          <w:rFonts w:ascii="Sylfaen" w:hAnsi="Sylfaen"/>
          <w:sz w:val="24"/>
          <w:szCs w:val="24"/>
        </w:rPr>
        <w:t>շրջանառության մեջ դն</w:t>
      </w:r>
      <w:r w:rsidR="00C24175" w:rsidRPr="001E19BB">
        <w:rPr>
          <w:rFonts w:ascii="Sylfaen" w:hAnsi="Sylfaen"/>
          <w:sz w:val="24"/>
          <w:szCs w:val="24"/>
        </w:rPr>
        <w:t>ում</w:t>
      </w:r>
      <w:r w:rsidRPr="001E19BB">
        <w:rPr>
          <w:rFonts w:ascii="Sylfaen" w:hAnsi="Sylfaen"/>
          <w:sz w:val="24"/>
          <w:szCs w:val="24"/>
        </w:rPr>
        <w:t xml:space="preserve">, </w:t>
      </w:r>
      <w:r w:rsidR="001E19BB">
        <w:rPr>
          <w:rFonts w:ascii="Sylfaen" w:hAnsi="Sylfaen"/>
          <w:sz w:val="24"/>
          <w:szCs w:val="24"/>
        </w:rPr>
        <w:t>եւ</w:t>
      </w:r>
      <w:r w:rsidRPr="001E19BB">
        <w:rPr>
          <w:rFonts w:ascii="Sylfaen" w:hAnsi="Sylfaen"/>
          <w:sz w:val="24"/>
          <w:szCs w:val="24"/>
        </w:rPr>
        <w:t xml:space="preserve"> (կամ) իրացում, ինչպես նա</w:t>
      </w:r>
      <w:r w:rsidR="001E19BB">
        <w:rPr>
          <w:rFonts w:ascii="Sylfaen" w:hAnsi="Sylfaen"/>
          <w:sz w:val="24"/>
          <w:szCs w:val="24"/>
        </w:rPr>
        <w:t>եւ</w:t>
      </w:r>
      <w:r w:rsidRPr="001E19BB">
        <w:rPr>
          <w:rFonts w:ascii="Sylfaen" w:hAnsi="Sylfaen"/>
          <w:sz w:val="24"/>
          <w:szCs w:val="24"/>
        </w:rPr>
        <w:t xml:space="preserve"> համապատասխանության գնահատման մարմինները (այդ թվում՝ սերտիֆիկացման մարմինները, փորձարկման լաբորատորիաները (կենտրոնները)), որոնք իրականացնում են Միության տեխնիկական կանոնակարգերի պահանջներին արտադրանքի համապատասխանության </w:t>
      </w:r>
      <w:r w:rsidR="00C24175" w:rsidRPr="001E19BB">
        <w:rPr>
          <w:rFonts w:ascii="Sylfaen" w:hAnsi="Sylfaen"/>
          <w:sz w:val="24"/>
          <w:szCs w:val="24"/>
        </w:rPr>
        <w:t>գնահատում</w:t>
      </w:r>
      <w:r w:rsidR="00703980" w:rsidRPr="001E19BB">
        <w:rPr>
          <w:rFonts w:ascii="Sylfaen" w:hAnsi="Sylfaen"/>
          <w:sz w:val="24"/>
          <w:szCs w:val="24"/>
        </w:rPr>
        <w:t>`</w:t>
      </w:r>
      <w:r w:rsidRPr="001E19BB">
        <w:rPr>
          <w:rFonts w:ascii="Sylfaen" w:hAnsi="Sylfaen"/>
          <w:sz w:val="24"/>
          <w:szCs w:val="24"/>
        </w:rPr>
        <w:t xml:space="preserve"> անդամ պետությունների օրենսդրությանը համապատասխան:</w:t>
      </w:r>
    </w:p>
    <w:p w:rsidR="006716DA" w:rsidRPr="001E19BB" w:rsidRDefault="0011725C" w:rsidP="008F0DF6">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lastRenderedPageBreak/>
        <w:t>Հոդված 3</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Պետական հսկողությունը (վերահսկողությունը) </w:t>
      </w:r>
      <w:r w:rsidR="002173A8" w:rsidRPr="001E19BB">
        <w:rPr>
          <w:rFonts w:ascii="Sylfaen" w:hAnsi="Sylfaen"/>
          <w:sz w:val="24"/>
          <w:szCs w:val="24"/>
        </w:rPr>
        <w:t>իրականացվում</w:t>
      </w:r>
      <w:r w:rsidRPr="001E19BB">
        <w:rPr>
          <w:rFonts w:ascii="Sylfaen" w:hAnsi="Sylfaen"/>
          <w:sz w:val="24"/>
          <w:szCs w:val="24"/>
        </w:rPr>
        <w:t xml:space="preserve"> է անդամ պետությունների օրենսդրությանը համապատասխան լիազորված՝ անդամ պետությունների պետական հսկողության (վերահսկողության) մարմինների կողմից (այսուհետ՝ պետական հսկողության (վերահսկողության) մարմիններ)՝ հետեւյալ սկզբունքների հիման վրա՝</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իրավաբանական անձանց </w:t>
      </w:r>
      <w:r w:rsidR="001E19BB">
        <w:rPr>
          <w:rFonts w:ascii="Sylfaen" w:hAnsi="Sylfaen"/>
          <w:sz w:val="24"/>
          <w:szCs w:val="24"/>
        </w:rPr>
        <w:t>եւ</w:t>
      </w:r>
      <w:r w:rsidRPr="001E19BB">
        <w:rPr>
          <w:rFonts w:ascii="Sylfaen" w:hAnsi="Sylfaen"/>
          <w:sz w:val="24"/>
          <w:szCs w:val="24"/>
        </w:rPr>
        <w:t xml:space="preserve"> անհատ ձեռնարկատերերի բարեխղճության կանխավարկած.</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պետական հսկողության (վերահսկողության) մարմինների գործունեության հրապարակայնություն.</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սպառողների իրավունքների պաշտպանության ապահովում.</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պետական հսկողության (վերահսկողության) </w:t>
      </w:r>
      <w:r w:rsidR="00324D93" w:rsidRPr="001E19BB">
        <w:rPr>
          <w:rFonts w:ascii="Sylfaen" w:hAnsi="Sylfaen"/>
          <w:sz w:val="24"/>
          <w:szCs w:val="24"/>
        </w:rPr>
        <w:t>իրականացման</w:t>
      </w:r>
      <w:r w:rsidRPr="001E19BB">
        <w:rPr>
          <w:rFonts w:ascii="Sylfaen" w:hAnsi="Sylfaen"/>
          <w:sz w:val="24"/>
          <w:szCs w:val="24"/>
        </w:rPr>
        <w:t xml:space="preserve"> համակարգվածություն.</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պետական հսկողության (վերահսկողության) մարմինների պաշտոնատար անձանց պրոֆեսիոնալիզմ եւ </w:t>
      </w:r>
      <w:r w:rsidR="00703980" w:rsidRPr="001E19BB">
        <w:rPr>
          <w:rFonts w:ascii="Sylfaen" w:hAnsi="Sylfaen"/>
          <w:sz w:val="24"/>
          <w:szCs w:val="24"/>
        </w:rPr>
        <w:t>կոմպետենտությունյ</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ստուգման ենթա</w:t>
      </w:r>
      <w:r w:rsidR="00B86FD3" w:rsidRPr="001E19BB">
        <w:rPr>
          <w:rFonts w:ascii="Sylfaen" w:hAnsi="Sylfaen"/>
          <w:sz w:val="24"/>
          <w:szCs w:val="24"/>
        </w:rPr>
        <w:t xml:space="preserve">րկվող </w:t>
      </w:r>
      <w:r w:rsidRPr="001E19BB">
        <w:rPr>
          <w:rFonts w:ascii="Sylfaen" w:hAnsi="Sylfaen"/>
          <w:sz w:val="24"/>
          <w:szCs w:val="24"/>
        </w:rPr>
        <w:t xml:space="preserve">իրավաբանական անձանց </w:t>
      </w:r>
      <w:r w:rsidR="001E19BB">
        <w:rPr>
          <w:rFonts w:ascii="Sylfaen" w:hAnsi="Sylfaen"/>
          <w:sz w:val="24"/>
          <w:szCs w:val="24"/>
        </w:rPr>
        <w:t>եւ</w:t>
      </w:r>
      <w:r w:rsidRPr="001E19BB">
        <w:rPr>
          <w:rFonts w:ascii="Sylfaen" w:hAnsi="Sylfaen"/>
          <w:sz w:val="24"/>
          <w:szCs w:val="24"/>
        </w:rPr>
        <w:t xml:space="preserve"> անհատ ձեռնարկատերերի իրավունքների ու օրինական շահերի պահպանում.</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օրինականության պահպանում՝ պետական հսկողությանը (վերահսկողությանը) ուղղված միջոցառումներ նշանակելիս </w:t>
      </w:r>
      <w:r w:rsidR="001E19BB">
        <w:rPr>
          <w:rFonts w:ascii="Sylfaen" w:hAnsi="Sylfaen"/>
          <w:sz w:val="24"/>
          <w:szCs w:val="24"/>
        </w:rPr>
        <w:t>եւ</w:t>
      </w:r>
      <w:r w:rsidRPr="001E19BB">
        <w:rPr>
          <w:rFonts w:ascii="Sylfaen" w:hAnsi="Sylfaen"/>
          <w:sz w:val="24"/>
          <w:szCs w:val="24"/>
        </w:rPr>
        <w:t xml:space="preserve"> անցկացնելիս, դրանց արդյունքների հիման վրա որոշումներ կայացնելիս.</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պետական հսկողության (վերահսկողության) մարմինների անկախություն արտադրողներից, վաճառողներից, կատարողներից ու ձեռք</w:t>
      </w:r>
      <w:r w:rsidR="00703980" w:rsidRPr="001E19BB">
        <w:rPr>
          <w:rFonts w:ascii="Sylfaen" w:hAnsi="Sylfaen"/>
          <w:sz w:val="24"/>
          <w:szCs w:val="24"/>
        </w:rPr>
        <w:t xml:space="preserve"> </w:t>
      </w:r>
      <w:r w:rsidRPr="001E19BB">
        <w:rPr>
          <w:rFonts w:ascii="Sylfaen" w:hAnsi="Sylfaen"/>
          <w:sz w:val="24"/>
          <w:szCs w:val="24"/>
        </w:rPr>
        <w:t>բերողներից (այդ</w:t>
      </w:r>
      <w:r w:rsidR="008F0DF6">
        <w:rPr>
          <w:rFonts w:ascii="Sylfaen" w:hAnsi="Sylfaen"/>
          <w:sz w:val="24"/>
          <w:szCs w:val="24"/>
        </w:rPr>
        <w:t> </w:t>
      </w:r>
      <w:r w:rsidRPr="001E19BB">
        <w:rPr>
          <w:rFonts w:ascii="Sylfaen" w:hAnsi="Sylfaen"/>
          <w:sz w:val="24"/>
          <w:szCs w:val="24"/>
        </w:rPr>
        <w:t>թվում՝ սպառողներից).</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անդամ պետության մի</w:t>
      </w:r>
      <w:r w:rsidR="001E19BB">
        <w:rPr>
          <w:rFonts w:ascii="Sylfaen" w:hAnsi="Sylfaen"/>
          <w:sz w:val="24"/>
          <w:szCs w:val="24"/>
        </w:rPr>
        <w:t>եւ</w:t>
      </w:r>
      <w:r w:rsidRPr="001E19BB">
        <w:rPr>
          <w:rFonts w:ascii="Sylfaen" w:hAnsi="Sylfaen"/>
          <w:sz w:val="24"/>
          <w:szCs w:val="24"/>
        </w:rPr>
        <w:t xml:space="preserve">նույն մարմնի կողմից պետական հսկողության (վերահսկողության) լիազորությունները հավատարմագրման լիազորությունների հետ համատեղելու անթույլատրելիություն՝ բացառությամբ անդամ պետության </w:t>
      </w:r>
      <w:r w:rsidRPr="001E19BB">
        <w:rPr>
          <w:rFonts w:ascii="Sylfaen" w:hAnsi="Sylfaen"/>
          <w:sz w:val="24"/>
          <w:szCs w:val="24"/>
        </w:rPr>
        <w:lastRenderedPageBreak/>
        <w:t>հավատարմագրման մարմնի կողմից անդամ պետությունների համապատասխանության գնահատման հավատարմագրված մարմինների (այդ</w:t>
      </w:r>
      <w:r w:rsidR="008F0DF6">
        <w:rPr>
          <w:rFonts w:ascii="Sylfaen" w:hAnsi="Sylfaen"/>
          <w:sz w:val="24"/>
          <w:szCs w:val="24"/>
        </w:rPr>
        <w:t> </w:t>
      </w:r>
      <w:r w:rsidRPr="001E19BB">
        <w:rPr>
          <w:rFonts w:ascii="Sylfaen" w:hAnsi="Sylfaen"/>
          <w:sz w:val="24"/>
          <w:szCs w:val="24"/>
        </w:rPr>
        <w:t>թվում՝ սերտիֆիկացման մարմինների, փորձարկման լաբորատորիաների (կենտրոնների)) գործունեության նկատմամբ հսկողության իրականացման.</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պետական հսկողության (վերահսկողության) մարմինների պաշտոնատար անձանց օբյեկտիվություն </w:t>
      </w:r>
      <w:r w:rsidR="001E19BB">
        <w:rPr>
          <w:rFonts w:ascii="Sylfaen" w:hAnsi="Sylfaen"/>
          <w:sz w:val="24"/>
          <w:szCs w:val="24"/>
        </w:rPr>
        <w:t>եւ</w:t>
      </w:r>
      <w:r w:rsidRPr="001E19BB">
        <w:rPr>
          <w:rFonts w:ascii="Sylfaen" w:hAnsi="Sylfaen"/>
          <w:sz w:val="24"/>
          <w:szCs w:val="24"/>
        </w:rPr>
        <w:t xml:space="preserve"> անկողմնակալություն.</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պետական հսկողության (վերահսկողության) մարմինների գործունեության պետական ֆինանսավորում.</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պատժից առաջ իրավախախտման կանխարգելման առաջնահերթություն (բացառությամբ այն դեպքերի, երբ Միության տեխնիկական կանոնակարգերի պահանջներին չհամապատասխանող արտադրանքի հայտնաբերման ու տարածման կանխմանն ուղղված միջոցներ չձեռնարկելը կարող է հանգեցնել մարդու կյանքին եւ (կամ) առողջությանը, կենդանիների </w:t>
      </w:r>
      <w:r w:rsidR="005C55B6" w:rsidRPr="001E19BB">
        <w:rPr>
          <w:rFonts w:ascii="Sylfaen" w:hAnsi="Sylfaen"/>
          <w:sz w:val="24"/>
          <w:szCs w:val="24"/>
        </w:rPr>
        <w:t xml:space="preserve">ու </w:t>
      </w:r>
      <w:r w:rsidRPr="001E19BB">
        <w:rPr>
          <w:rFonts w:ascii="Sylfaen" w:hAnsi="Sylfaen"/>
          <w:sz w:val="24"/>
          <w:szCs w:val="24"/>
        </w:rPr>
        <w:t>բույսերի կյանքին եւ (կամ) առողջությանը, շրջակա միջավայրին վնաս հասցնելուն).</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Միության տեխնիկական կանոնակարգերով սահմանված պահանջների խախտման ռիսկի գնահատում.</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միեւնույն իրավաբանական անձի կամ անհատ ձեռնարկատիրոջ նկատմամբ՝ Միության տեխնիկական կանոնակարգերով սահմանված միեւնույն պարտադիր պահանջների կատարման մասով՝ անդամ պետության պետական հսկողության (վերահսկողության) մի քանի մարմինների կողմից ստուգումների անցկացման անթույլատրելիություն:</w:t>
      </w:r>
    </w:p>
    <w:p w:rsidR="006716DA" w:rsidRPr="001E19BB" w:rsidRDefault="006716DA" w:rsidP="001E19BB">
      <w:pPr>
        <w:spacing w:after="160" w:line="360" w:lineRule="auto"/>
        <w:ind w:firstLine="567"/>
        <w:jc w:val="both"/>
      </w:pPr>
    </w:p>
    <w:p w:rsidR="006716DA" w:rsidRPr="001E19BB" w:rsidRDefault="0011725C" w:rsidP="008F0DF6">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t>Հոդված 4</w:t>
      </w:r>
    </w:p>
    <w:p w:rsidR="006716DA" w:rsidRPr="001E19BB" w:rsidRDefault="00D4468A" w:rsidP="008F0DF6">
      <w:pPr>
        <w:pStyle w:val="Bodytext20"/>
        <w:shd w:val="clear" w:color="auto" w:fill="auto"/>
        <w:tabs>
          <w:tab w:val="left" w:pos="1134"/>
        </w:tabs>
        <w:spacing w:after="160" w:line="336" w:lineRule="auto"/>
        <w:ind w:firstLine="567"/>
        <w:jc w:val="both"/>
        <w:rPr>
          <w:rFonts w:ascii="Sylfaen" w:hAnsi="Sylfaen"/>
          <w:sz w:val="24"/>
          <w:szCs w:val="24"/>
        </w:rPr>
      </w:pPr>
      <w:r w:rsidRPr="001E19BB">
        <w:rPr>
          <w:rFonts w:ascii="Sylfaen" w:hAnsi="Sylfaen"/>
          <w:sz w:val="24"/>
          <w:szCs w:val="24"/>
        </w:rPr>
        <w:t>1.</w:t>
      </w:r>
      <w:r w:rsidR="008F0DF6">
        <w:rPr>
          <w:rFonts w:ascii="Sylfaen" w:hAnsi="Sylfaen"/>
          <w:sz w:val="24"/>
          <w:szCs w:val="24"/>
        </w:rPr>
        <w:tab/>
      </w:r>
      <w:r w:rsidRPr="001E19BB">
        <w:rPr>
          <w:rFonts w:ascii="Sylfaen" w:hAnsi="Sylfaen"/>
          <w:sz w:val="24"/>
          <w:szCs w:val="24"/>
        </w:rPr>
        <w:t>Պետական հսկողության (վերահսկողության) իրականացումն օպտիմալացնելու եւ դրա արդյունավետությունը բարձրացնելու նպատակով անդամ պետություններում կիրառվում է ռիսկի վրա հիմնված մոտեցում, որով նախատեսվում է պետական հսկողության (վերահսկողության) իրականացում</w:t>
      </w:r>
      <w:r w:rsidR="00E22864" w:rsidRPr="001E19BB">
        <w:rPr>
          <w:rFonts w:ascii="Sylfaen" w:hAnsi="Sylfaen"/>
          <w:sz w:val="24"/>
          <w:szCs w:val="24"/>
        </w:rPr>
        <w:t>ը</w:t>
      </w:r>
      <w:r w:rsidRPr="001E19BB">
        <w:rPr>
          <w:rFonts w:ascii="Sylfaen" w:hAnsi="Sylfaen"/>
          <w:sz w:val="24"/>
          <w:szCs w:val="24"/>
        </w:rPr>
        <w:t xml:space="preserve">՝ </w:t>
      </w:r>
      <w:r w:rsidRPr="001E19BB">
        <w:rPr>
          <w:rFonts w:ascii="Sylfaen" w:hAnsi="Sylfaen"/>
          <w:sz w:val="24"/>
          <w:szCs w:val="24"/>
        </w:rPr>
        <w:lastRenderedPageBreak/>
        <w:t xml:space="preserve">Միության տեխնիկական կանոնակարգերով սահմանված պահանջները խախտելու ռիսկի գնահատման հիման վրա, </w:t>
      </w:r>
      <w:r w:rsidR="0011725C" w:rsidRPr="001E19BB">
        <w:rPr>
          <w:rFonts w:ascii="Sylfaen" w:hAnsi="Sylfaen"/>
          <w:sz w:val="24"/>
          <w:szCs w:val="24"/>
        </w:rPr>
        <w:t>որի արդյունքներով իրականացվում է պետական հսկողության (վերահսկողության) միջոցառումների անցկացման ձեւի, տեւողության, պարբերականության ընտրությունը:</w:t>
      </w:r>
    </w:p>
    <w:p w:rsidR="006716DA" w:rsidRPr="001E19BB" w:rsidRDefault="00D4468A" w:rsidP="008F0DF6">
      <w:pPr>
        <w:pStyle w:val="Bodytext20"/>
        <w:shd w:val="clear" w:color="auto" w:fill="auto"/>
        <w:tabs>
          <w:tab w:val="left" w:pos="1134"/>
        </w:tabs>
        <w:spacing w:after="160" w:line="336" w:lineRule="auto"/>
        <w:ind w:firstLine="567"/>
        <w:jc w:val="both"/>
        <w:rPr>
          <w:rFonts w:ascii="Sylfaen" w:hAnsi="Sylfaen"/>
          <w:sz w:val="24"/>
          <w:szCs w:val="24"/>
        </w:rPr>
      </w:pPr>
      <w:r w:rsidRPr="001E19BB">
        <w:rPr>
          <w:rFonts w:ascii="Sylfaen" w:hAnsi="Sylfaen"/>
          <w:sz w:val="24"/>
          <w:szCs w:val="24"/>
        </w:rPr>
        <w:t>2.</w:t>
      </w:r>
      <w:r w:rsidR="008F0DF6">
        <w:rPr>
          <w:rFonts w:ascii="Sylfaen" w:hAnsi="Sylfaen"/>
          <w:sz w:val="24"/>
          <w:szCs w:val="24"/>
        </w:rPr>
        <w:tab/>
      </w:r>
      <w:r w:rsidRPr="001E19BB">
        <w:rPr>
          <w:rFonts w:ascii="Sylfaen" w:hAnsi="Sylfaen"/>
          <w:sz w:val="24"/>
          <w:szCs w:val="24"/>
        </w:rPr>
        <w:t>Պետական հսկողության (վերահսկողության) միջոցառումների անցկացման ձեւը, տեւողությունը, պարբերականությունն ընտրելու նպատակով ռիսկի գնահատման կանոնները սահմանվում են անդամ պետությունների օրենսդրությանը համապատասխան:</w:t>
      </w:r>
    </w:p>
    <w:p w:rsidR="006716DA" w:rsidRPr="001E19BB" w:rsidRDefault="006716DA" w:rsidP="008F0DF6">
      <w:pPr>
        <w:spacing w:after="160" w:line="336" w:lineRule="auto"/>
        <w:jc w:val="both"/>
      </w:pPr>
    </w:p>
    <w:p w:rsidR="006716DA" w:rsidRPr="001E19BB" w:rsidRDefault="0011725C" w:rsidP="008F0DF6">
      <w:pPr>
        <w:pStyle w:val="Bodytext20"/>
        <w:shd w:val="clear" w:color="auto" w:fill="auto"/>
        <w:spacing w:after="160" w:line="336" w:lineRule="auto"/>
        <w:jc w:val="center"/>
        <w:rPr>
          <w:rFonts w:ascii="Sylfaen" w:hAnsi="Sylfaen"/>
          <w:sz w:val="24"/>
          <w:szCs w:val="24"/>
        </w:rPr>
      </w:pPr>
      <w:r w:rsidRPr="001E19BB">
        <w:rPr>
          <w:rFonts w:ascii="Sylfaen" w:hAnsi="Sylfaen"/>
          <w:sz w:val="24"/>
          <w:szCs w:val="24"/>
        </w:rPr>
        <w:t>Հոդված 5</w:t>
      </w:r>
    </w:p>
    <w:p w:rsidR="006716DA" w:rsidRPr="001E19BB" w:rsidRDefault="00D4468A" w:rsidP="008F0DF6">
      <w:pPr>
        <w:pStyle w:val="Bodytext20"/>
        <w:shd w:val="clear" w:color="auto" w:fill="auto"/>
        <w:tabs>
          <w:tab w:val="left" w:pos="1134"/>
        </w:tabs>
        <w:spacing w:after="160" w:line="336" w:lineRule="auto"/>
        <w:ind w:firstLine="567"/>
        <w:jc w:val="both"/>
        <w:rPr>
          <w:rFonts w:ascii="Sylfaen" w:hAnsi="Sylfaen"/>
          <w:sz w:val="24"/>
          <w:szCs w:val="24"/>
        </w:rPr>
      </w:pPr>
      <w:r w:rsidRPr="001E19BB">
        <w:rPr>
          <w:rFonts w:ascii="Sylfaen" w:hAnsi="Sylfaen"/>
          <w:sz w:val="24"/>
          <w:szCs w:val="24"/>
        </w:rPr>
        <w:t>1.</w:t>
      </w:r>
      <w:r w:rsidR="008F0DF6">
        <w:rPr>
          <w:rFonts w:ascii="Sylfaen" w:hAnsi="Sylfaen"/>
          <w:sz w:val="24"/>
          <w:szCs w:val="24"/>
        </w:rPr>
        <w:tab/>
      </w:r>
      <w:r w:rsidRPr="001E19BB">
        <w:rPr>
          <w:rFonts w:ascii="Sylfaen" w:hAnsi="Sylfaen"/>
          <w:sz w:val="24"/>
          <w:szCs w:val="24"/>
        </w:rPr>
        <w:t>Պետական հսկողությունը (վերահսկողությունը) իրականացվում է՝ հաշվի առնելով սույն համաձայնագրի դրույթները՝ Միության տեխնիկական կանոնակարգերի պահանջների կատարման վերլուծության ու կանխատեսման եւ անդամ պետությունների տարածքներում՝ Միության տեխնիկական կանոնակարգերի պահանջներին չհամապատասխանող արտադրանքի շրջանառության կանխարգելման</w:t>
      </w:r>
      <w:r w:rsidR="007250F7" w:rsidRPr="001E19BB">
        <w:rPr>
          <w:rFonts w:ascii="Sylfaen" w:hAnsi="Sylfaen"/>
          <w:sz w:val="24"/>
          <w:szCs w:val="24"/>
        </w:rPr>
        <w:t>ը</w:t>
      </w:r>
      <w:r w:rsidRPr="001E19BB">
        <w:rPr>
          <w:rFonts w:ascii="Sylfaen" w:hAnsi="Sylfaen"/>
          <w:sz w:val="24"/>
          <w:szCs w:val="24"/>
        </w:rPr>
        <w:t>, հայտնաբերման</w:t>
      </w:r>
      <w:r w:rsidR="007250F7" w:rsidRPr="001E19BB">
        <w:rPr>
          <w:rFonts w:ascii="Sylfaen" w:hAnsi="Sylfaen"/>
          <w:sz w:val="24"/>
          <w:szCs w:val="24"/>
        </w:rPr>
        <w:t>ը</w:t>
      </w:r>
      <w:r w:rsidRPr="001E19BB">
        <w:rPr>
          <w:rFonts w:ascii="Sylfaen" w:hAnsi="Sylfaen"/>
          <w:sz w:val="24"/>
          <w:szCs w:val="24"/>
        </w:rPr>
        <w:t>, կանխման</w:t>
      </w:r>
      <w:r w:rsidR="007250F7" w:rsidRPr="001E19BB">
        <w:rPr>
          <w:rFonts w:ascii="Sylfaen" w:hAnsi="Sylfaen"/>
          <w:sz w:val="24"/>
          <w:szCs w:val="24"/>
        </w:rPr>
        <w:t>ը</w:t>
      </w:r>
      <w:r w:rsidRPr="001E19BB">
        <w:rPr>
          <w:rFonts w:ascii="Sylfaen" w:hAnsi="Sylfaen"/>
          <w:sz w:val="24"/>
          <w:szCs w:val="24"/>
        </w:rPr>
        <w:t xml:space="preserve"> եւ (կամ) Միության տեխնիկական կանոնակարգերի պահանջների խախտման բացասական հետեւանքների վերացման</w:t>
      </w:r>
      <w:r w:rsidR="007250F7" w:rsidRPr="001E19BB">
        <w:rPr>
          <w:rFonts w:ascii="Sylfaen" w:hAnsi="Sylfaen"/>
          <w:sz w:val="24"/>
          <w:szCs w:val="24"/>
        </w:rPr>
        <w:t>ն ուղղված</w:t>
      </w:r>
      <w:r w:rsidRPr="001E19BB">
        <w:rPr>
          <w:rFonts w:ascii="Sylfaen" w:hAnsi="Sylfaen"/>
          <w:sz w:val="24"/>
          <w:szCs w:val="24"/>
        </w:rPr>
        <w:t xml:space="preserve"> միջոցների ձեռնարկման հիման վրա՝ անդամ պետությունների օրենսդրությամբ նախատեսված պետական հսկողության (վերահսկողության) միջոցառումներ</w:t>
      </w:r>
      <w:r w:rsidR="007250F7" w:rsidRPr="001E19BB">
        <w:rPr>
          <w:rFonts w:ascii="Sylfaen" w:hAnsi="Sylfaen"/>
          <w:sz w:val="24"/>
          <w:szCs w:val="24"/>
        </w:rPr>
        <w:t>ի</w:t>
      </w:r>
      <w:r w:rsidRPr="001E19BB">
        <w:rPr>
          <w:rFonts w:ascii="Sylfaen" w:hAnsi="Sylfaen"/>
          <w:sz w:val="24"/>
          <w:szCs w:val="24"/>
        </w:rPr>
        <w:t xml:space="preserve"> անցկաց</w:t>
      </w:r>
      <w:r w:rsidR="007250F7" w:rsidRPr="001E19BB">
        <w:rPr>
          <w:rFonts w:ascii="Sylfaen" w:hAnsi="Sylfaen"/>
          <w:sz w:val="24"/>
          <w:szCs w:val="24"/>
        </w:rPr>
        <w:t>ման</w:t>
      </w:r>
      <w:r w:rsidRPr="001E19BB">
        <w:rPr>
          <w:rFonts w:ascii="Sylfaen" w:hAnsi="Sylfaen"/>
          <w:sz w:val="24"/>
          <w:szCs w:val="24"/>
        </w:rPr>
        <w:t xml:space="preserve"> միջոցով:</w:t>
      </w:r>
    </w:p>
    <w:p w:rsidR="006716DA" w:rsidRPr="001E19BB" w:rsidRDefault="00D4468A" w:rsidP="008F0DF6">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8F0DF6">
        <w:rPr>
          <w:rFonts w:ascii="Sylfaen" w:hAnsi="Sylfaen"/>
          <w:sz w:val="24"/>
          <w:szCs w:val="24"/>
        </w:rPr>
        <w:tab/>
      </w:r>
      <w:r w:rsidRPr="001E19BB">
        <w:rPr>
          <w:rFonts w:ascii="Sylfaen" w:hAnsi="Sylfaen"/>
          <w:sz w:val="24"/>
          <w:szCs w:val="24"/>
        </w:rPr>
        <w:t>Միության տեխնիկական կանոնակարգերի պահանջների պահպանման վերլուծությունն ու կանխատեսումը ներառում են հետեւյալի ուսումնասիր</w:t>
      </w:r>
      <w:r w:rsidR="0068621D" w:rsidRPr="001E19BB">
        <w:rPr>
          <w:rFonts w:ascii="Sylfaen" w:hAnsi="Sylfaen"/>
          <w:sz w:val="24"/>
          <w:szCs w:val="24"/>
        </w:rPr>
        <w:t xml:space="preserve">ությունն ու </w:t>
      </w:r>
      <w:r w:rsidRPr="001E19BB">
        <w:rPr>
          <w:rFonts w:ascii="Sylfaen" w:hAnsi="Sylfaen"/>
          <w:sz w:val="24"/>
          <w:szCs w:val="24"/>
        </w:rPr>
        <w:t>ամփոփում</w:t>
      </w:r>
      <w:r w:rsidR="0068621D" w:rsidRPr="001E19BB">
        <w:rPr>
          <w:rFonts w:ascii="Sylfaen" w:hAnsi="Sylfaen"/>
          <w:sz w:val="24"/>
          <w:szCs w:val="24"/>
        </w:rPr>
        <w:t>ը</w:t>
      </w:r>
      <w:r w:rsidRPr="001E19BB">
        <w:rPr>
          <w:rFonts w:ascii="Sylfaen" w:hAnsi="Sylfaen"/>
          <w:sz w:val="24"/>
          <w:szCs w:val="24"/>
        </w:rPr>
        <w:t>՝</w:t>
      </w:r>
    </w:p>
    <w:p w:rsidR="006716DA" w:rsidRPr="001E19BB" w:rsidRDefault="00D4468A" w:rsidP="008F0DF6">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8F0DF6">
        <w:rPr>
          <w:rFonts w:ascii="Sylfaen" w:hAnsi="Sylfaen"/>
          <w:sz w:val="24"/>
          <w:szCs w:val="24"/>
        </w:rPr>
        <w:tab/>
      </w:r>
      <w:r w:rsidRPr="001E19BB">
        <w:rPr>
          <w:rFonts w:ascii="Sylfaen" w:hAnsi="Sylfaen"/>
          <w:sz w:val="24"/>
          <w:szCs w:val="24"/>
        </w:rPr>
        <w:t xml:space="preserve">տեղեկություններ այն իրավաբանական անձանց եւ անհատ ձեռնարկատերերի վերաբերյալ, որոնք </w:t>
      </w:r>
      <w:r w:rsidR="0068621D" w:rsidRPr="001E19BB">
        <w:rPr>
          <w:rFonts w:ascii="Sylfaen" w:hAnsi="Sylfaen"/>
          <w:sz w:val="24"/>
          <w:szCs w:val="24"/>
        </w:rPr>
        <w:t xml:space="preserve">որպես հայտատու են հանդես գալիս </w:t>
      </w:r>
      <w:r w:rsidRPr="001E19BB">
        <w:rPr>
          <w:rFonts w:ascii="Sylfaen" w:hAnsi="Sylfaen"/>
          <w:sz w:val="24"/>
          <w:szCs w:val="24"/>
        </w:rPr>
        <w:t>Միության տեխնիկական կանոնակարգերի պահանջներին տեխնիկական կանոնակարգման օբյեկտների համապատասխանության գնահատման, այդ</w:t>
      </w:r>
      <w:r w:rsidR="008F0DF6">
        <w:rPr>
          <w:rFonts w:ascii="Sylfaen" w:hAnsi="Sylfaen"/>
          <w:sz w:val="24"/>
          <w:szCs w:val="24"/>
        </w:rPr>
        <w:t> </w:t>
      </w:r>
      <w:r w:rsidRPr="001E19BB">
        <w:rPr>
          <w:rFonts w:ascii="Sylfaen" w:hAnsi="Sylfaen"/>
          <w:sz w:val="24"/>
          <w:szCs w:val="24"/>
        </w:rPr>
        <w:t>թվում՝ հետազոտություններ</w:t>
      </w:r>
      <w:r w:rsidR="0068621D" w:rsidRPr="001E19BB">
        <w:rPr>
          <w:rFonts w:ascii="Sylfaen" w:hAnsi="Sylfaen"/>
          <w:sz w:val="24"/>
          <w:szCs w:val="24"/>
        </w:rPr>
        <w:t>ի</w:t>
      </w:r>
      <w:r w:rsidRPr="001E19BB">
        <w:rPr>
          <w:rFonts w:ascii="Sylfaen" w:hAnsi="Sylfaen"/>
          <w:sz w:val="24"/>
          <w:szCs w:val="24"/>
        </w:rPr>
        <w:t xml:space="preserve"> (փորձարկումների) եւ չափումներ</w:t>
      </w:r>
      <w:r w:rsidR="0068621D" w:rsidRPr="001E19BB">
        <w:rPr>
          <w:rFonts w:ascii="Sylfaen" w:hAnsi="Sylfaen"/>
          <w:sz w:val="24"/>
          <w:szCs w:val="24"/>
        </w:rPr>
        <w:t>ի ժամանակ</w:t>
      </w:r>
      <w:r w:rsidRPr="001E19BB">
        <w:rPr>
          <w:rFonts w:ascii="Sylfaen" w:hAnsi="Sylfaen"/>
          <w:sz w:val="24"/>
          <w:szCs w:val="24"/>
        </w:rPr>
        <w:t>.</w:t>
      </w:r>
    </w:p>
    <w:p w:rsidR="006716DA" w:rsidRPr="001E19BB" w:rsidRDefault="00D4468A" w:rsidP="008F0DF6">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lastRenderedPageBreak/>
        <w:t>2)</w:t>
      </w:r>
      <w:r w:rsidR="008F0DF6">
        <w:rPr>
          <w:rFonts w:ascii="Sylfaen" w:hAnsi="Sylfaen"/>
          <w:sz w:val="24"/>
          <w:szCs w:val="24"/>
        </w:rPr>
        <w:tab/>
      </w:r>
      <w:r w:rsidRPr="001E19BB">
        <w:rPr>
          <w:rFonts w:ascii="Sylfaen" w:hAnsi="Sylfaen"/>
          <w:sz w:val="24"/>
          <w:szCs w:val="24"/>
        </w:rPr>
        <w:t>տեղեկատվություն, որն ստացվել է պետական հսկողության (վերահսկողության) միջոցառումների անցկացման արդյունքներ</w:t>
      </w:r>
      <w:r w:rsidR="0068621D" w:rsidRPr="001E19BB">
        <w:rPr>
          <w:rFonts w:ascii="Sylfaen" w:hAnsi="Sylfaen"/>
          <w:sz w:val="24"/>
          <w:szCs w:val="24"/>
        </w:rPr>
        <w:t>ով</w:t>
      </w:r>
      <w:r w:rsidRPr="001E19BB">
        <w:rPr>
          <w:rFonts w:ascii="Sylfaen" w:hAnsi="Sylfaen"/>
          <w:sz w:val="24"/>
          <w:szCs w:val="24"/>
        </w:rPr>
        <w:t>.</w:t>
      </w:r>
    </w:p>
    <w:p w:rsidR="006716DA" w:rsidRPr="001E19BB" w:rsidRDefault="00D4468A" w:rsidP="008F0DF6">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3)</w:t>
      </w:r>
      <w:r w:rsidR="008F0DF6">
        <w:rPr>
          <w:rFonts w:ascii="Sylfaen" w:hAnsi="Sylfaen"/>
          <w:sz w:val="24"/>
          <w:szCs w:val="24"/>
        </w:rPr>
        <w:tab/>
      </w:r>
      <w:r w:rsidRPr="001E19BB">
        <w:rPr>
          <w:rFonts w:ascii="Sylfaen" w:hAnsi="Sylfaen"/>
          <w:sz w:val="24"/>
          <w:szCs w:val="24"/>
        </w:rPr>
        <w:t xml:space="preserve">տեղեկատվություն Միության տեխնիկական կանոնակարգերի պահանջներին չհամապատասխանող՝ տեխնիկական կանոնակարգման օբյեկտների, ինչպես նաեւ անդամ պետությունների օրենսդրությանը համապատասխան հայտնաբերված, այդ թվում՝ զանգվածային լրատվամիջոցներից ստացվող՝ մարդու կյանքին եւ (կամ) առողջությանը, կենդանիների </w:t>
      </w:r>
      <w:r w:rsidR="00C7750D" w:rsidRPr="001E19BB">
        <w:rPr>
          <w:rFonts w:ascii="Sylfaen" w:hAnsi="Sylfaen"/>
          <w:sz w:val="24"/>
          <w:szCs w:val="24"/>
        </w:rPr>
        <w:t xml:space="preserve">ու </w:t>
      </w:r>
      <w:r w:rsidRPr="001E19BB">
        <w:rPr>
          <w:rFonts w:ascii="Sylfaen" w:hAnsi="Sylfaen"/>
          <w:sz w:val="24"/>
          <w:szCs w:val="24"/>
        </w:rPr>
        <w:t>բույսերի կյանքին եւ (կամ) առողջությանը, շրջակա միջավայրին վնաս հասցնելու դեպքերի վերաբերյալ:</w:t>
      </w:r>
    </w:p>
    <w:p w:rsidR="006716DA" w:rsidRPr="001E19BB" w:rsidRDefault="006716DA" w:rsidP="001E19BB">
      <w:pPr>
        <w:spacing w:after="160" w:line="360" w:lineRule="auto"/>
        <w:ind w:firstLine="567"/>
        <w:jc w:val="both"/>
      </w:pPr>
    </w:p>
    <w:p w:rsidR="006716DA" w:rsidRPr="001E19BB" w:rsidRDefault="0011725C" w:rsidP="008F0DF6">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t>Հոդված 6</w:t>
      </w:r>
    </w:p>
    <w:p w:rsidR="006716DA" w:rsidRPr="001E19BB" w:rsidRDefault="00D4468A" w:rsidP="008F0DF6">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8F0DF6">
        <w:rPr>
          <w:rFonts w:ascii="Sylfaen" w:hAnsi="Sylfaen"/>
          <w:sz w:val="24"/>
          <w:szCs w:val="24"/>
        </w:rPr>
        <w:tab/>
      </w:r>
      <w:r w:rsidRPr="001E19BB">
        <w:rPr>
          <w:rFonts w:ascii="Sylfaen" w:hAnsi="Sylfaen"/>
          <w:sz w:val="24"/>
          <w:szCs w:val="24"/>
        </w:rPr>
        <w:t xml:space="preserve">Պետական հսկողության (վերահսկողության) միջոցառումներ </w:t>
      </w:r>
      <w:r w:rsidR="0068621D" w:rsidRPr="001E19BB">
        <w:rPr>
          <w:rFonts w:ascii="Sylfaen" w:hAnsi="Sylfaen"/>
          <w:sz w:val="24"/>
          <w:szCs w:val="24"/>
        </w:rPr>
        <w:t>իրականացնելիս</w:t>
      </w:r>
      <w:r w:rsidRPr="001E19BB">
        <w:rPr>
          <w:rFonts w:ascii="Sylfaen" w:hAnsi="Sylfaen"/>
          <w:sz w:val="24"/>
          <w:szCs w:val="24"/>
        </w:rPr>
        <w:t xml:space="preserve"> պետական հսկողության (վերահսկողության) մարմիններն իրավունք չունեն իրավաբանական անձից կամ անհատ ձեռնարկատիրոջից </w:t>
      </w:r>
      <w:r w:rsidR="004269E3" w:rsidRPr="001E19BB">
        <w:rPr>
          <w:rFonts w:ascii="Sylfaen" w:hAnsi="Sylfaen"/>
          <w:sz w:val="24"/>
          <w:szCs w:val="24"/>
        </w:rPr>
        <w:t xml:space="preserve">պահանջելու </w:t>
      </w:r>
      <w:r w:rsidRPr="001E19BB">
        <w:rPr>
          <w:rFonts w:ascii="Sylfaen" w:hAnsi="Sylfaen"/>
          <w:sz w:val="24"/>
          <w:szCs w:val="24"/>
        </w:rPr>
        <w:t xml:space="preserve">ներկայացնել այնպիսի տեղեկատվություն, որը նախկինում ներկայացվել է անդամ պետությունների օրենսդրությանը համապատասխան կամ որը պետական հսկողության (վերահսկողության) մարմինները, անդամ պետությունների օրենսդրությանը համապատասխան, կարող են </w:t>
      </w:r>
      <w:r w:rsidR="004269E3" w:rsidRPr="001E19BB">
        <w:rPr>
          <w:rFonts w:ascii="Sylfaen" w:hAnsi="Sylfaen"/>
          <w:sz w:val="24"/>
          <w:szCs w:val="24"/>
        </w:rPr>
        <w:t>ստացած լինել</w:t>
      </w:r>
      <w:r w:rsidRPr="001E19BB">
        <w:rPr>
          <w:rFonts w:ascii="Sylfaen" w:hAnsi="Sylfaen"/>
          <w:sz w:val="24"/>
          <w:szCs w:val="24"/>
        </w:rPr>
        <w:t xml:space="preserve"> Միության իրավունքի մաս կազմող միջազգային պայմանագրերին ու ակտերին եւ անդամ պետությունների օրենսդրությանը համապատասխան ձեւավորված ու գործող պետական տեղեկատվական համակարգերից, ռեեստրներից ու ռեգիստրներից:</w:t>
      </w:r>
    </w:p>
    <w:p w:rsidR="006716DA" w:rsidRPr="001E19BB" w:rsidRDefault="00D4468A" w:rsidP="008F0DF6">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8F0DF6">
        <w:rPr>
          <w:rFonts w:ascii="Sylfaen" w:hAnsi="Sylfaen"/>
          <w:sz w:val="24"/>
          <w:szCs w:val="24"/>
        </w:rPr>
        <w:tab/>
      </w:r>
      <w:r w:rsidRPr="001E19BB">
        <w:rPr>
          <w:rFonts w:ascii="Sylfaen" w:hAnsi="Sylfaen"/>
          <w:sz w:val="24"/>
          <w:szCs w:val="24"/>
        </w:rPr>
        <w:t xml:space="preserve">Պետական հսկողության (վերահսկողության) շրջանակներում կիրառվում են </w:t>
      </w:r>
      <w:r w:rsidR="00544C30" w:rsidRPr="001E19BB">
        <w:rPr>
          <w:rFonts w:ascii="Sylfaen" w:hAnsi="Sylfaen"/>
          <w:sz w:val="24"/>
          <w:szCs w:val="24"/>
        </w:rPr>
        <w:t xml:space="preserve">Եվրասիական տնտեսական հանձնաժողովի կողմից (այսուհետ՝ Հանձնաժողով) «Եվրասիական տնտեսական միության շրջանակներում տեխնիկական կանոնակարգման մասին» արձանագրության («Եվրասիական տնտեսական միության մասին» 2014 թվականի մայիսի 29-ի պայմանագրի թիվ 9 հավելված) 4-րդ կետի հինգերորդ պարբերությանը համապատասխան </w:t>
      </w:r>
      <w:r w:rsidR="00544C30" w:rsidRPr="001E19BB">
        <w:rPr>
          <w:rFonts w:ascii="Sylfaen" w:hAnsi="Sylfaen"/>
          <w:sz w:val="24"/>
          <w:szCs w:val="24"/>
        </w:rPr>
        <w:lastRenderedPageBreak/>
        <w:t xml:space="preserve">հաստատվող՝ </w:t>
      </w:r>
      <w:r w:rsidRPr="001E19BB">
        <w:rPr>
          <w:rFonts w:ascii="Sylfaen" w:hAnsi="Sylfaen"/>
          <w:sz w:val="24"/>
          <w:szCs w:val="24"/>
        </w:rPr>
        <w:t xml:space="preserve">հետազոտությունների (փորձարկումների) </w:t>
      </w:r>
      <w:r w:rsidR="001E19BB">
        <w:rPr>
          <w:rFonts w:ascii="Sylfaen" w:hAnsi="Sylfaen"/>
          <w:sz w:val="24"/>
          <w:szCs w:val="24"/>
        </w:rPr>
        <w:t>եւ</w:t>
      </w:r>
      <w:r w:rsidRPr="001E19BB">
        <w:rPr>
          <w:rFonts w:ascii="Sylfaen" w:hAnsi="Sylfaen"/>
          <w:sz w:val="24"/>
          <w:szCs w:val="24"/>
        </w:rPr>
        <w:t xml:space="preserve"> չափումների կանոններ ու մեթոդներ, այդ թվում՝ նմուշառման կանոններ</w:t>
      </w:r>
      <w:r w:rsidR="008B0A01" w:rsidRPr="001E19BB">
        <w:rPr>
          <w:rFonts w:ascii="Sylfaen" w:hAnsi="Sylfaen"/>
          <w:sz w:val="24"/>
          <w:szCs w:val="24"/>
        </w:rPr>
        <w:t xml:space="preserve"> </w:t>
      </w:r>
      <w:r w:rsidRPr="001E19BB">
        <w:rPr>
          <w:rFonts w:ascii="Sylfaen" w:hAnsi="Sylfaen"/>
          <w:sz w:val="24"/>
          <w:szCs w:val="24"/>
        </w:rPr>
        <w:t>պարունակ</w:t>
      </w:r>
      <w:r w:rsidR="008B0A01" w:rsidRPr="001E19BB">
        <w:rPr>
          <w:rFonts w:ascii="Sylfaen" w:hAnsi="Sylfaen"/>
          <w:sz w:val="24"/>
          <w:szCs w:val="24"/>
        </w:rPr>
        <w:t xml:space="preserve">ող </w:t>
      </w:r>
      <w:r w:rsidRPr="001E19BB">
        <w:rPr>
          <w:rFonts w:ascii="Sylfaen" w:hAnsi="Sylfaen"/>
          <w:sz w:val="24"/>
          <w:szCs w:val="24"/>
        </w:rPr>
        <w:t xml:space="preserve">այն ստանդարտներում կամ այլ փաստաթղթերում, որոնք ներառված են Միության համապատասխան տեխնիկական կանոնակարգերի կիրառման ու կատարման </w:t>
      </w:r>
      <w:r w:rsidR="001E19BB">
        <w:rPr>
          <w:rFonts w:ascii="Sylfaen" w:hAnsi="Sylfaen"/>
          <w:sz w:val="24"/>
          <w:szCs w:val="24"/>
        </w:rPr>
        <w:t>եւ</w:t>
      </w:r>
      <w:r w:rsidRPr="001E19BB">
        <w:rPr>
          <w:rFonts w:ascii="Sylfaen" w:hAnsi="Sylfaen"/>
          <w:sz w:val="24"/>
          <w:szCs w:val="24"/>
        </w:rPr>
        <w:t xml:space="preserve"> տեխնիկական կանոնակարգման օբյեկտների համապատասխանության </w:t>
      </w:r>
      <w:r w:rsidR="00544C30" w:rsidRPr="001E19BB">
        <w:rPr>
          <w:rFonts w:ascii="Sylfaen" w:hAnsi="Sylfaen"/>
          <w:sz w:val="24"/>
          <w:szCs w:val="24"/>
        </w:rPr>
        <w:t>գնահատում</w:t>
      </w:r>
      <w:r w:rsidRPr="001E19BB">
        <w:rPr>
          <w:rFonts w:ascii="Sylfaen" w:hAnsi="Sylfaen"/>
          <w:sz w:val="24"/>
          <w:szCs w:val="24"/>
        </w:rPr>
        <w:t xml:space="preserve"> իրականացնելու համար</w:t>
      </w:r>
      <w:r w:rsidR="00544C30" w:rsidRPr="001E19BB">
        <w:rPr>
          <w:rFonts w:ascii="Sylfaen" w:hAnsi="Sylfaen"/>
          <w:sz w:val="24"/>
          <w:szCs w:val="24"/>
        </w:rPr>
        <w:t xml:space="preserve"> անհրաժեշտ հետազոտությունների (փորձարկումների) </w:t>
      </w:r>
      <w:r w:rsidR="001E19BB">
        <w:rPr>
          <w:rFonts w:ascii="Sylfaen" w:hAnsi="Sylfaen"/>
          <w:sz w:val="24"/>
          <w:szCs w:val="24"/>
        </w:rPr>
        <w:t>եւ</w:t>
      </w:r>
      <w:r w:rsidR="00544C30" w:rsidRPr="001E19BB">
        <w:rPr>
          <w:rFonts w:ascii="Sylfaen" w:hAnsi="Sylfaen"/>
          <w:sz w:val="24"/>
          <w:szCs w:val="24"/>
        </w:rPr>
        <w:t xml:space="preserve"> չափումների կանոններ ու մեթոդներ, այդ թվում՝ նմուշառման կանոններ պարունակող միջազգային </w:t>
      </w:r>
      <w:r w:rsidR="001E19BB">
        <w:rPr>
          <w:rFonts w:ascii="Sylfaen" w:hAnsi="Sylfaen"/>
          <w:sz w:val="24"/>
          <w:szCs w:val="24"/>
        </w:rPr>
        <w:t>եւ</w:t>
      </w:r>
      <w:r w:rsidR="00544C30" w:rsidRPr="001E19BB">
        <w:rPr>
          <w:rFonts w:ascii="Sylfaen" w:hAnsi="Sylfaen"/>
          <w:sz w:val="24"/>
          <w:szCs w:val="24"/>
        </w:rPr>
        <w:t xml:space="preserve"> տարածաշրջանային (միջպետական) ստանդարտների, իսկ դրանց բացակայության դեպքում՝ ազգային (պետական) ստանդարտների ցանկերում</w:t>
      </w:r>
      <w:r w:rsidRPr="001E19BB">
        <w:rPr>
          <w:rFonts w:ascii="Sylfaen" w:hAnsi="Sylfaen"/>
          <w:sz w:val="24"/>
          <w:szCs w:val="24"/>
        </w:rPr>
        <w:t xml:space="preserve"> (այսուհետ՝ ստանդարտների ցանկեր):</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Պետական հսկողության (վերահսկողության) շրջանակներում հետազոտությունները (փորձարկումները) եւ չափումներն </w:t>
      </w:r>
      <w:r w:rsidR="00C804F1" w:rsidRPr="001E19BB">
        <w:rPr>
          <w:rFonts w:ascii="Sylfaen" w:hAnsi="Sylfaen"/>
          <w:sz w:val="24"/>
          <w:szCs w:val="24"/>
        </w:rPr>
        <w:t>իրականացվում</w:t>
      </w:r>
      <w:r w:rsidRPr="001E19BB">
        <w:rPr>
          <w:rFonts w:ascii="Sylfaen" w:hAnsi="Sylfaen"/>
          <w:sz w:val="24"/>
          <w:szCs w:val="24"/>
        </w:rPr>
        <w:t xml:space="preserve"> են անդամ պետությունների օրենսդրությանը համապատասխան հավատարմագրված փորձարկման լաբորատորիաներում (կենտրոններում):</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Պետական հսկողության (վերահսկողության) շրջանակներում չի թույլատրվում արտադրանքի նմուշների հետազոտություններ</w:t>
      </w:r>
      <w:r w:rsidR="00C804F1" w:rsidRPr="001E19BB">
        <w:rPr>
          <w:rFonts w:ascii="Sylfaen" w:hAnsi="Sylfaen"/>
          <w:sz w:val="24"/>
          <w:szCs w:val="24"/>
        </w:rPr>
        <w:t>ի</w:t>
      </w:r>
      <w:r w:rsidRPr="001E19BB">
        <w:rPr>
          <w:rFonts w:ascii="Sylfaen" w:hAnsi="Sylfaen"/>
          <w:sz w:val="24"/>
          <w:szCs w:val="24"/>
        </w:rPr>
        <w:t xml:space="preserve"> (փորձարկումներ</w:t>
      </w:r>
      <w:r w:rsidR="00C804F1" w:rsidRPr="001E19BB">
        <w:rPr>
          <w:rFonts w:ascii="Sylfaen" w:hAnsi="Sylfaen"/>
          <w:sz w:val="24"/>
          <w:szCs w:val="24"/>
        </w:rPr>
        <w:t>ի</w:t>
      </w:r>
      <w:r w:rsidRPr="001E19BB">
        <w:rPr>
          <w:rFonts w:ascii="Sylfaen" w:hAnsi="Sylfaen"/>
          <w:sz w:val="24"/>
          <w:szCs w:val="24"/>
        </w:rPr>
        <w:t xml:space="preserve">) </w:t>
      </w:r>
      <w:r w:rsidR="001E19BB">
        <w:rPr>
          <w:rFonts w:ascii="Sylfaen" w:hAnsi="Sylfaen"/>
          <w:sz w:val="24"/>
          <w:szCs w:val="24"/>
        </w:rPr>
        <w:t>եւ</w:t>
      </w:r>
      <w:r w:rsidRPr="001E19BB">
        <w:rPr>
          <w:rFonts w:ascii="Sylfaen" w:hAnsi="Sylfaen"/>
          <w:sz w:val="24"/>
          <w:szCs w:val="24"/>
        </w:rPr>
        <w:t xml:space="preserve"> չափումներ</w:t>
      </w:r>
      <w:r w:rsidR="00C804F1" w:rsidRPr="001E19BB">
        <w:rPr>
          <w:rFonts w:ascii="Sylfaen" w:hAnsi="Sylfaen"/>
          <w:sz w:val="24"/>
          <w:szCs w:val="24"/>
        </w:rPr>
        <w:t>ի իրականացումն</w:t>
      </w:r>
      <w:r w:rsidRPr="001E19BB">
        <w:rPr>
          <w:rFonts w:ascii="Sylfaen" w:hAnsi="Sylfaen"/>
          <w:sz w:val="24"/>
          <w:szCs w:val="24"/>
        </w:rPr>
        <w:t xml:space="preserve"> այն փորձարկման լաբորատորիայում (կենտրոնում), որում տվյալ արտադրանքը գնահատվել (հա</w:t>
      </w:r>
      <w:r w:rsidR="001B04CA">
        <w:rPr>
          <w:rFonts w:ascii="Sylfaen" w:hAnsi="Sylfaen"/>
          <w:sz w:val="24"/>
          <w:szCs w:val="24"/>
        </w:rPr>
        <w:t>վա</w:t>
      </w:r>
      <w:r w:rsidRPr="001E19BB">
        <w:rPr>
          <w:rFonts w:ascii="Sylfaen" w:hAnsi="Sylfaen"/>
          <w:sz w:val="24"/>
          <w:szCs w:val="24"/>
        </w:rPr>
        <w:t>ստվել) է Միության տեխնիկական կանոնակարգերի պահանջներին համապատասխանության մասով՝ բացառությամբ այն դեպքերի, երբ անդամ պետության տարածքում որպես իրավաբանական անձ գրանցված է պետական հսկողության (վերահսկողության) համար անհրաժեշտ փորձարկումներ անցկացնող միայն մեկ փորձարկման լաբորատորիա (կենտրոն):</w:t>
      </w:r>
    </w:p>
    <w:p w:rsidR="006716DA" w:rsidRPr="001E19BB" w:rsidRDefault="00456FD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 xml:space="preserve">Պետական հսկողության (վերահսկողության) շրջանակներում անցկացված հետազոտությունների (փորձարկումների) </w:t>
      </w:r>
      <w:r w:rsidR="001E19BB">
        <w:rPr>
          <w:rFonts w:ascii="Sylfaen" w:hAnsi="Sylfaen"/>
          <w:sz w:val="24"/>
          <w:szCs w:val="24"/>
        </w:rPr>
        <w:t>եւ</w:t>
      </w:r>
      <w:r w:rsidRPr="001E19BB">
        <w:rPr>
          <w:rFonts w:ascii="Sylfaen" w:hAnsi="Sylfaen"/>
          <w:sz w:val="24"/>
          <w:szCs w:val="24"/>
        </w:rPr>
        <w:t xml:space="preserve"> չափումների արդյունքների մասով տարաձայնությունների կարգավորման համար կիրառվում են չափումների ռեֆերենտային մեթոդիկաներ (մեթոդներ), որոնք որոշվում են ստանդարտների ցանկերում ներառվածների թվից՝ Հանձնաժողովի կողմից հաստատվող՝ որպես </w:t>
      </w:r>
      <w:r w:rsidRPr="001E19BB">
        <w:rPr>
          <w:rFonts w:ascii="Sylfaen" w:hAnsi="Sylfaen"/>
          <w:sz w:val="24"/>
          <w:szCs w:val="24"/>
        </w:rPr>
        <w:lastRenderedPageBreak/>
        <w:t>չափումների ռեֆերենտային մեթոդիկա (մեթոդ) ընդունվող չափումների մեթոդիկայի (մեթոդի) ընդունված</w:t>
      </w:r>
      <w:r w:rsidR="005550AB">
        <w:rPr>
          <w:rFonts w:ascii="Sylfaen" w:hAnsi="Sylfaen"/>
          <w:sz w:val="24"/>
          <w:szCs w:val="24"/>
        </w:rPr>
        <w:t xml:space="preserve"> գնահատման կարգին համապատասխան:</w:t>
      </w:r>
    </w:p>
    <w:p w:rsidR="006716DA" w:rsidRPr="001E19BB" w:rsidRDefault="00D4468A" w:rsidP="005550AB">
      <w:pPr>
        <w:pStyle w:val="Bodytext20"/>
        <w:shd w:val="clear" w:color="auto" w:fill="auto"/>
        <w:tabs>
          <w:tab w:val="left" w:pos="1134"/>
        </w:tabs>
        <w:spacing w:after="160" w:line="336" w:lineRule="auto"/>
        <w:ind w:firstLine="567"/>
        <w:jc w:val="both"/>
        <w:rPr>
          <w:rFonts w:ascii="Sylfaen" w:hAnsi="Sylfaen"/>
          <w:sz w:val="24"/>
          <w:szCs w:val="24"/>
        </w:rPr>
      </w:pPr>
      <w:r w:rsidRPr="001E19BB">
        <w:rPr>
          <w:rFonts w:ascii="Sylfaen" w:hAnsi="Sylfaen"/>
          <w:sz w:val="24"/>
          <w:szCs w:val="24"/>
        </w:rPr>
        <w:t>3.</w:t>
      </w:r>
      <w:r w:rsidR="008F0DF6">
        <w:rPr>
          <w:rFonts w:ascii="Sylfaen" w:hAnsi="Sylfaen"/>
          <w:sz w:val="24"/>
          <w:szCs w:val="24"/>
        </w:rPr>
        <w:tab/>
      </w:r>
      <w:r w:rsidRPr="001E19BB">
        <w:rPr>
          <w:rFonts w:ascii="Sylfaen" w:hAnsi="Sylfaen"/>
          <w:sz w:val="24"/>
          <w:szCs w:val="24"/>
        </w:rPr>
        <w:t xml:space="preserve">Պետական հսկողության (վերահսկողության) մարմիններն իրավունք ունեն պետական հսկողության (վերահսկողության) միջոցառումների անցկացմանը ներգրավելու փորձագետներ </w:t>
      </w:r>
      <w:r w:rsidR="001E19BB">
        <w:rPr>
          <w:rFonts w:ascii="Sylfaen" w:hAnsi="Sylfaen"/>
          <w:sz w:val="24"/>
          <w:szCs w:val="24"/>
        </w:rPr>
        <w:t>եւ</w:t>
      </w:r>
      <w:r w:rsidRPr="001E19BB">
        <w:rPr>
          <w:rFonts w:ascii="Sylfaen" w:hAnsi="Sylfaen"/>
          <w:sz w:val="24"/>
          <w:szCs w:val="24"/>
        </w:rPr>
        <w:t xml:space="preserve"> (կամ) փորձագիտական կազմակերպություններ՝ անդամ պետությունների օրենսդրությամբ սահմանված կարգով: Նշված միջոցառումներն իրականացվում են՝ հաշվի առնելով արտադրողներից, վաճառողներից, կատարողներից եւ ձեռք</w:t>
      </w:r>
      <w:r w:rsidR="00FD6EB4" w:rsidRPr="001E19BB">
        <w:rPr>
          <w:rFonts w:ascii="Sylfaen" w:hAnsi="Sylfaen"/>
          <w:sz w:val="24"/>
          <w:szCs w:val="24"/>
        </w:rPr>
        <w:t xml:space="preserve"> </w:t>
      </w:r>
      <w:r w:rsidRPr="001E19BB">
        <w:rPr>
          <w:rFonts w:ascii="Sylfaen" w:hAnsi="Sylfaen"/>
          <w:sz w:val="24"/>
          <w:szCs w:val="24"/>
        </w:rPr>
        <w:t>բերողներից (այդ</w:t>
      </w:r>
      <w:r w:rsidR="005550AB">
        <w:rPr>
          <w:rFonts w:ascii="Sylfaen" w:hAnsi="Sylfaen"/>
          <w:sz w:val="24"/>
          <w:szCs w:val="24"/>
        </w:rPr>
        <w:t> </w:t>
      </w:r>
      <w:r w:rsidRPr="001E19BB">
        <w:rPr>
          <w:rFonts w:ascii="Sylfaen" w:hAnsi="Sylfaen"/>
          <w:sz w:val="24"/>
          <w:szCs w:val="24"/>
        </w:rPr>
        <w:t>թվում՝ սպառողներից) նշված փորձագետների եւ փորձագիտական կազմակերպությունների անկախության սկզբունքը:</w:t>
      </w:r>
    </w:p>
    <w:p w:rsidR="006716DA" w:rsidRPr="001E19BB" w:rsidRDefault="00D4468A" w:rsidP="005550AB">
      <w:pPr>
        <w:pStyle w:val="Bodytext20"/>
        <w:shd w:val="clear" w:color="auto" w:fill="auto"/>
        <w:tabs>
          <w:tab w:val="left" w:pos="1134"/>
        </w:tabs>
        <w:spacing w:after="160" w:line="336" w:lineRule="auto"/>
        <w:ind w:firstLine="567"/>
        <w:jc w:val="both"/>
        <w:rPr>
          <w:rFonts w:ascii="Sylfaen" w:hAnsi="Sylfaen"/>
          <w:sz w:val="24"/>
          <w:szCs w:val="24"/>
        </w:rPr>
      </w:pPr>
      <w:r w:rsidRPr="001E19BB">
        <w:rPr>
          <w:rFonts w:ascii="Sylfaen" w:hAnsi="Sylfaen"/>
          <w:sz w:val="24"/>
          <w:szCs w:val="24"/>
        </w:rPr>
        <w:t>4.</w:t>
      </w:r>
      <w:r w:rsidR="008F0DF6">
        <w:rPr>
          <w:rFonts w:ascii="Sylfaen" w:hAnsi="Sylfaen"/>
          <w:sz w:val="24"/>
          <w:szCs w:val="24"/>
        </w:rPr>
        <w:tab/>
      </w:r>
      <w:r w:rsidRPr="001E19BB">
        <w:rPr>
          <w:rFonts w:ascii="Sylfaen" w:hAnsi="Sylfaen"/>
          <w:sz w:val="24"/>
          <w:szCs w:val="24"/>
        </w:rPr>
        <w:t xml:space="preserve">Արտապլանային ստուգումները պետական հսկողության (վերահսկողության) մարմինների կողմից </w:t>
      </w:r>
      <w:r w:rsidR="00C60FFC" w:rsidRPr="001E19BB">
        <w:rPr>
          <w:rFonts w:ascii="Sylfaen" w:hAnsi="Sylfaen"/>
          <w:sz w:val="24"/>
          <w:szCs w:val="24"/>
        </w:rPr>
        <w:t xml:space="preserve">կարող են անցկացվել </w:t>
      </w:r>
      <w:r w:rsidRPr="001E19BB">
        <w:rPr>
          <w:rFonts w:ascii="Sylfaen" w:hAnsi="Sylfaen"/>
          <w:sz w:val="24"/>
          <w:szCs w:val="24"/>
        </w:rPr>
        <w:t>հետեւյալ դեպքերում՝</w:t>
      </w:r>
    </w:p>
    <w:p w:rsidR="006716DA" w:rsidRPr="001E19BB" w:rsidRDefault="00D4468A" w:rsidP="005550AB">
      <w:pPr>
        <w:pStyle w:val="Bodytext20"/>
        <w:shd w:val="clear" w:color="auto" w:fill="auto"/>
        <w:tabs>
          <w:tab w:val="left" w:pos="1134"/>
        </w:tabs>
        <w:spacing w:after="160" w:line="336" w:lineRule="auto"/>
        <w:ind w:firstLine="567"/>
        <w:jc w:val="both"/>
        <w:rPr>
          <w:rFonts w:ascii="Sylfaen" w:hAnsi="Sylfaen"/>
          <w:sz w:val="24"/>
          <w:szCs w:val="24"/>
        </w:rPr>
      </w:pPr>
      <w:r w:rsidRPr="001E19BB">
        <w:rPr>
          <w:rFonts w:ascii="Sylfaen" w:hAnsi="Sylfaen"/>
          <w:sz w:val="24"/>
          <w:szCs w:val="24"/>
        </w:rPr>
        <w:t>1)</w:t>
      </w:r>
      <w:r w:rsidR="00DA23E5">
        <w:rPr>
          <w:rFonts w:ascii="Sylfaen" w:hAnsi="Sylfaen"/>
          <w:sz w:val="24"/>
          <w:szCs w:val="24"/>
        </w:rPr>
        <w:tab/>
      </w:r>
      <w:r w:rsidRPr="001E19BB">
        <w:rPr>
          <w:rFonts w:ascii="Sylfaen" w:hAnsi="Sylfaen"/>
          <w:sz w:val="24"/>
          <w:szCs w:val="24"/>
        </w:rPr>
        <w:t xml:space="preserve">անդամ պետությունների օրենսդրությամբ սահմանված կարգով </w:t>
      </w:r>
      <w:r w:rsidR="00C60FFC" w:rsidRPr="001E19BB">
        <w:rPr>
          <w:rFonts w:ascii="Sylfaen" w:hAnsi="Sylfaen"/>
          <w:sz w:val="24"/>
          <w:szCs w:val="24"/>
        </w:rPr>
        <w:t xml:space="preserve">պետական հսկողության (վերահսկողության) մարմնի կողմից պետական մարմիններից տեղեկատվության ստացում </w:t>
      </w:r>
      <w:r w:rsidRPr="001E19BB">
        <w:rPr>
          <w:rFonts w:ascii="Sylfaen" w:hAnsi="Sylfaen"/>
          <w:sz w:val="24"/>
          <w:szCs w:val="24"/>
        </w:rPr>
        <w:t>Միության տեխնիկական կանոնակարգերի պահանջների խախտումների վերաբերյալ.</w:t>
      </w:r>
    </w:p>
    <w:p w:rsidR="006716DA" w:rsidRPr="001E19BB" w:rsidRDefault="00D4468A" w:rsidP="005550AB">
      <w:pPr>
        <w:pStyle w:val="Bodytext20"/>
        <w:shd w:val="clear" w:color="auto" w:fill="auto"/>
        <w:tabs>
          <w:tab w:val="left" w:pos="1134"/>
        </w:tabs>
        <w:spacing w:after="160" w:line="336" w:lineRule="auto"/>
        <w:ind w:firstLine="567"/>
        <w:jc w:val="both"/>
        <w:rPr>
          <w:rFonts w:ascii="Sylfaen" w:hAnsi="Sylfaen"/>
          <w:sz w:val="24"/>
          <w:szCs w:val="24"/>
        </w:rPr>
      </w:pPr>
      <w:r w:rsidRPr="001E19BB">
        <w:rPr>
          <w:rFonts w:ascii="Sylfaen" w:hAnsi="Sylfaen"/>
          <w:sz w:val="24"/>
          <w:szCs w:val="24"/>
        </w:rPr>
        <w:t>2)</w:t>
      </w:r>
      <w:r w:rsidR="00DA23E5">
        <w:rPr>
          <w:rFonts w:ascii="Sylfaen" w:hAnsi="Sylfaen"/>
          <w:sz w:val="24"/>
          <w:szCs w:val="24"/>
        </w:rPr>
        <w:tab/>
      </w:r>
      <w:r w:rsidRPr="001E19BB">
        <w:rPr>
          <w:rFonts w:ascii="Sylfaen" w:hAnsi="Sylfaen"/>
          <w:sz w:val="24"/>
          <w:szCs w:val="24"/>
        </w:rPr>
        <w:t>մարդու կյանքին եւ (կամ) առողջությանը, կենդանիների ու բույսերի կյանքին եւ (կամ) առողջությանը, շրջակա միջավայրին վնաս հասցնելու վտանգի առաջացում եւ (կամ) վնաս</w:t>
      </w:r>
      <w:r w:rsidR="00C60FFC" w:rsidRPr="001E19BB">
        <w:rPr>
          <w:rFonts w:ascii="Sylfaen" w:hAnsi="Sylfaen"/>
          <w:sz w:val="24"/>
          <w:szCs w:val="24"/>
        </w:rPr>
        <w:t>ի</w:t>
      </w:r>
      <w:r w:rsidRPr="001E19BB">
        <w:rPr>
          <w:rFonts w:ascii="Sylfaen" w:hAnsi="Sylfaen"/>
          <w:sz w:val="24"/>
          <w:szCs w:val="24"/>
        </w:rPr>
        <w:t xml:space="preserve"> հասցն</w:t>
      </w:r>
      <w:r w:rsidR="00C60FFC" w:rsidRPr="001E19BB">
        <w:rPr>
          <w:rFonts w:ascii="Sylfaen" w:hAnsi="Sylfaen"/>
          <w:sz w:val="24"/>
          <w:szCs w:val="24"/>
        </w:rPr>
        <w:t>ում</w:t>
      </w:r>
      <w:r w:rsidRPr="001E19BB">
        <w:rPr>
          <w:rFonts w:ascii="Sylfaen" w:hAnsi="Sylfaen"/>
          <w:sz w:val="24"/>
          <w:szCs w:val="24"/>
        </w:rPr>
        <w:t>.</w:t>
      </w:r>
    </w:p>
    <w:p w:rsidR="006716DA" w:rsidRPr="005550AB" w:rsidRDefault="00D4468A" w:rsidP="005550AB">
      <w:pPr>
        <w:pStyle w:val="Bodytext20"/>
        <w:shd w:val="clear" w:color="auto" w:fill="auto"/>
        <w:tabs>
          <w:tab w:val="left" w:pos="1134"/>
        </w:tabs>
        <w:spacing w:after="160" w:line="336" w:lineRule="auto"/>
        <w:ind w:firstLine="567"/>
        <w:jc w:val="both"/>
        <w:rPr>
          <w:rFonts w:ascii="Sylfaen" w:hAnsi="Sylfaen"/>
          <w:spacing w:val="-6"/>
          <w:sz w:val="24"/>
          <w:szCs w:val="24"/>
        </w:rPr>
      </w:pPr>
      <w:r w:rsidRPr="005550AB">
        <w:rPr>
          <w:rFonts w:ascii="Sylfaen" w:hAnsi="Sylfaen"/>
          <w:spacing w:val="-6"/>
          <w:sz w:val="24"/>
          <w:szCs w:val="24"/>
        </w:rPr>
        <w:t>3)</w:t>
      </w:r>
      <w:r w:rsidR="00DA23E5" w:rsidRPr="005550AB">
        <w:rPr>
          <w:rFonts w:ascii="Sylfaen" w:hAnsi="Sylfaen"/>
          <w:spacing w:val="-6"/>
          <w:sz w:val="24"/>
          <w:szCs w:val="24"/>
        </w:rPr>
        <w:tab/>
      </w:r>
      <w:r w:rsidRPr="005550AB">
        <w:rPr>
          <w:rFonts w:ascii="Sylfaen" w:hAnsi="Sylfaen"/>
          <w:spacing w:val="-6"/>
          <w:sz w:val="24"/>
          <w:szCs w:val="24"/>
        </w:rPr>
        <w:t>անդամ պետությունների օրենսդրությամբ նախատեսված այլ դեպքերում:</w:t>
      </w:r>
    </w:p>
    <w:p w:rsidR="006716DA" w:rsidRPr="001E19BB" w:rsidRDefault="006716DA" w:rsidP="005550AB">
      <w:pPr>
        <w:spacing w:after="160" w:line="336" w:lineRule="auto"/>
        <w:ind w:firstLine="567"/>
        <w:jc w:val="both"/>
      </w:pPr>
    </w:p>
    <w:p w:rsidR="006716DA" w:rsidRPr="001E19BB" w:rsidRDefault="0011725C" w:rsidP="00DA23E5">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t>Հոդված 7</w:t>
      </w:r>
    </w:p>
    <w:p w:rsidR="006716DA" w:rsidRPr="001E19BB" w:rsidRDefault="00D4468A" w:rsidP="004B1DF2">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4B1DF2">
        <w:rPr>
          <w:rFonts w:ascii="Sylfaen" w:hAnsi="Sylfaen"/>
          <w:sz w:val="24"/>
          <w:szCs w:val="24"/>
        </w:rPr>
        <w:tab/>
      </w:r>
      <w:r w:rsidRPr="001E19BB">
        <w:rPr>
          <w:rFonts w:ascii="Sylfaen" w:hAnsi="Sylfaen"/>
          <w:sz w:val="24"/>
          <w:szCs w:val="24"/>
        </w:rPr>
        <w:t xml:space="preserve">Պետական հսկողության (վերահսկողության) անցկացումը կազմակերպելու եւ Միության տեխնիկական կանոնակարգերի պահանջներին չհամապատասխանող արտադրանքն անդամ պետությունների տարածքներում շրջանառության մեջ դնելը </w:t>
      </w:r>
      <w:r w:rsidR="001E19BB">
        <w:rPr>
          <w:rFonts w:ascii="Sylfaen" w:hAnsi="Sylfaen"/>
          <w:sz w:val="24"/>
          <w:szCs w:val="24"/>
        </w:rPr>
        <w:t>եւ</w:t>
      </w:r>
      <w:r w:rsidRPr="001E19BB">
        <w:rPr>
          <w:rFonts w:ascii="Sylfaen" w:hAnsi="Sylfaen"/>
          <w:sz w:val="24"/>
          <w:szCs w:val="24"/>
        </w:rPr>
        <w:t xml:space="preserve"> դրա շրջանառությունը կանխելու նպատակով՝ անդամ պետություններն ապահովում են պետական հսկողության </w:t>
      </w:r>
      <w:r w:rsidRPr="001E19BB">
        <w:rPr>
          <w:rFonts w:ascii="Sylfaen" w:hAnsi="Sylfaen"/>
          <w:sz w:val="24"/>
          <w:szCs w:val="24"/>
        </w:rPr>
        <w:lastRenderedPageBreak/>
        <w:t>(վերահսկողության) մարմինների փոխգործակցությունը, ինչպես նա</w:t>
      </w:r>
      <w:r w:rsidR="001E19BB">
        <w:rPr>
          <w:rFonts w:ascii="Sylfaen" w:hAnsi="Sylfaen"/>
          <w:sz w:val="24"/>
          <w:szCs w:val="24"/>
        </w:rPr>
        <w:t>եւ</w:t>
      </w:r>
      <w:r w:rsidRPr="001E19BB">
        <w:rPr>
          <w:rFonts w:ascii="Sylfaen" w:hAnsi="Sylfaen"/>
          <w:sz w:val="24"/>
          <w:szCs w:val="24"/>
        </w:rPr>
        <w:t xml:space="preserve"> պետական հսկողության (վերահսկողության) մարմինների փոխգործակցությունն այն մարմինների կամ իրավաբանական անձանց հետ, որոնք</w:t>
      </w:r>
      <w:r w:rsidR="00FD6EB4" w:rsidRPr="001E19BB">
        <w:rPr>
          <w:rFonts w:ascii="Sylfaen" w:hAnsi="Sylfaen"/>
          <w:sz w:val="24"/>
          <w:szCs w:val="24"/>
        </w:rPr>
        <w:t>,</w:t>
      </w:r>
      <w:r w:rsidRPr="001E19BB">
        <w:rPr>
          <w:rFonts w:ascii="Sylfaen" w:hAnsi="Sylfaen"/>
          <w:sz w:val="24"/>
          <w:szCs w:val="24"/>
        </w:rPr>
        <w:t xml:space="preserve"> անդամ պետության օրենսդրությանը համապատասխան</w:t>
      </w:r>
      <w:r w:rsidR="00FD6EB4" w:rsidRPr="001E19BB">
        <w:rPr>
          <w:rFonts w:ascii="Sylfaen" w:hAnsi="Sylfaen"/>
          <w:sz w:val="24"/>
          <w:szCs w:val="24"/>
        </w:rPr>
        <w:t>,</w:t>
      </w:r>
      <w:r w:rsidRPr="001E19BB">
        <w:rPr>
          <w:rFonts w:ascii="Sylfaen" w:hAnsi="Sylfaen"/>
          <w:sz w:val="24"/>
          <w:szCs w:val="24"/>
        </w:rPr>
        <w:t xml:space="preserve"> լիազորված են հավատարմագրում </w:t>
      </w:r>
      <w:r w:rsidR="00C60FFC" w:rsidRPr="001E19BB">
        <w:rPr>
          <w:rFonts w:ascii="Sylfaen" w:hAnsi="Sylfaen"/>
          <w:sz w:val="24"/>
          <w:szCs w:val="24"/>
        </w:rPr>
        <w:t>իրականացնելու</w:t>
      </w:r>
      <w:r w:rsidRPr="001E19BB">
        <w:rPr>
          <w:rFonts w:ascii="Sylfaen" w:hAnsi="Sylfaen"/>
          <w:sz w:val="24"/>
          <w:szCs w:val="24"/>
        </w:rPr>
        <w:t>, այդ թվում՝ կանոնավոր տեղեկատվություն փոխանակելու, պետական հսկողություն (վերահսկողություն) անցկացնելու փորձի փոխանակում կազմակերպելու եւ համատեղ ստուգումներ անցկացնելու միջոցով:</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Նշված փոխգործակցության կարգը սահմանվում է Հանձնաժողովի խորհրդի կողմից:</w:t>
      </w:r>
    </w:p>
    <w:p w:rsidR="006716DA" w:rsidRPr="001E19BB" w:rsidRDefault="00D4468A" w:rsidP="005550A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5550AB">
        <w:rPr>
          <w:rFonts w:ascii="Sylfaen" w:hAnsi="Sylfaen"/>
          <w:sz w:val="24"/>
          <w:szCs w:val="24"/>
        </w:rPr>
        <w:tab/>
      </w:r>
      <w:r w:rsidRPr="001E19BB">
        <w:rPr>
          <w:rFonts w:ascii="Sylfaen" w:hAnsi="Sylfaen"/>
          <w:sz w:val="24"/>
          <w:szCs w:val="24"/>
        </w:rPr>
        <w:t>Պետական հսկողության (վերահսկողության) անցկացման ժամանակ տեղեկատվության փոխանակում եւ փոխգործակցություն ապահովելու նպատակով պետական հսկողության (վերահսկողության) մարմիններն օգտագործում են Միության ինտեգրված տեղեկատվական համակարգը:</w:t>
      </w:r>
    </w:p>
    <w:p w:rsidR="005550AB" w:rsidRDefault="005550AB" w:rsidP="001E19BB">
      <w:pPr>
        <w:pStyle w:val="Bodytext20"/>
        <w:shd w:val="clear" w:color="auto" w:fill="auto"/>
        <w:spacing w:after="160" w:line="360" w:lineRule="auto"/>
        <w:jc w:val="both"/>
        <w:rPr>
          <w:rFonts w:ascii="Sylfaen" w:hAnsi="Sylfaen"/>
          <w:sz w:val="24"/>
          <w:szCs w:val="24"/>
        </w:rPr>
      </w:pPr>
    </w:p>
    <w:p w:rsidR="006716DA" w:rsidRPr="001E19BB" w:rsidRDefault="0011725C" w:rsidP="005550AB">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t>Հոդված 8</w:t>
      </w:r>
    </w:p>
    <w:p w:rsidR="006716DA" w:rsidRPr="001E19BB" w:rsidRDefault="00D4468A" w:rsidP="005550A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5550AB">
        <w:rPr>
          <w:rFonts w:ascii="Sylfaen" w:hAnsi="Sylfaen"/>
          <w:sz w:val="24"/>
          <w:szCs w:val="24"/>
        </w:rPr>
        <w:tab/>
      </w:r>
      <w:r w:rsidR="00CA6DBB" w:rsidRPr="001E19BB">
        <w:rPr>
          <w:rFonts w:ascii="Sylfaen" w:hAnsi="Sylfaen"/>
          <w:sz w:val="24"/>
          <w:szCs w:val="24"/>
        </w:rPr>
        <w:t xml:space="preserve">Պետական հսկողության (վերահսկողության) մարմինների եւ անդամ պետությունների այլ լիազորված մարմինների օպերատիվ փոխգործակցության նպատակով </w:t>
      </w:r>
      <w:r w:rsidRPr="001E19BB">
        <w:rPr>
          <w:rFonts w:ascii="Sylfaen" w:hAnsi="Sylfaen"/>
          <w:sz w:val="24"/>
          <w:szCs w:val="24"/>
        </w:rPr>
        <w:t>Միության շրջանակներում Միության ինտեգրված տեղեկատվական համակարգի օգտագործմամբ ընդհանուր գործընթացների իրագործման ժամանակ ապահովվում է վտանգավոր արտադրանքի վերաբերյալ տեղեկացման համակարգի գործունեությունը:</w:t>
      </w:r>
    </w:p>
    <w:p w:rsidR="006716DA" w:rsidRPr="001E19BB" w:rsidRDefault="00D4468A" w:rsidP="005550A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5550AB">
        <w:rPr>
          <w:rFonts w:ascii="Sylfaen" w:hAnsi="Sylfaen"/>
          <w:sz w:val="24"/>
          <w:szCs w:val="24"/>
        </w:rPr>
        <w:tab/>
      </w:r>
      <w:r w:rsidRPr="001E19BB">
        <w:rPr>
          <w:rFonts w:ascii="Sylfaen" w:hAnsi="Sylfaen"/>
          <w:sz w:val="24"/>
          <w:szCs w:val="24"/>
        </w:rPr>
        <w:t xml:space="preserve">Վտանգավոր արտադրանքի վերաբերյալ տեղեկացման համակարգի գործունեության շրջանակներում </w:t>
      </w:r>
      <w:r w:rsidR="00703980" w:rsidRPr="001E19BB">
        <w:rPr>
          <w:rFonts w:ascii="Sylfaen" w:hAnsi="Sylfaen"/>
          <w:sz w:val="24"/>
          <w:szCs w:val="24"/>
        </w:rPr>
        <w:t>իրականացվում ենաընդհանուր</w:t>
      </w:r>
      <w:r w:rsidRPr="001E19BB">
        <w:rPr>
          <w:rFonts w:ascii="Sylfaen" w:hAnsi="Sylfaen"/>
          <w:sz w:val="24"/>
          <w:szCs w:val="24"/>
        </w:rPr>
        <w:t xml:space="preserve"> տեղեկատվական ռեսուրսների ձեւավորում, վարում եւ օգտագործում, ինչպես նաեւ տեղեկությունների փոխանակում, այդ թվում՝</w:t>
      </w:r>
    </w:p>
    <w:p w:rsidR="006716DA" w:rsidRPr="001E19BB" w:rsidRDefault="00D4468A" w:rsidP="005550A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5550AB">
        <w:rPr>
          <w:rFonts w:ascii="Sylfaen" w:hAnsi="Sylfaen"/>
          <w:sz w:val="24"/>
          <w:szCs w:val="24"/>
        </w:rPr>
        <w:tab/>
      </w:r>
      <w:r w:rsidRPr="001E19BB">
        <w:rPr>
          <w:rFonts w:ascii="Sylfaen" w:hAnsi="Sylfaen"/>
          <w:sz w:val="24"/>
          <w:szCs w:val="24"/>
        </w:rPr>
        <w:t xml:space="preserve">հայտնաբերված՝ Միության տեխնիկական կանոնակարգերի պահանջներին չհամապատասխանող արտադրանքի վերաբերյալ, ինչպես նաեւ </w:t>
      </w:r>
      <w:r w:rsidRPr="001E19BB">
        <w:rPr>
          <w:rFonts w:ascii="Sylfaen" w:hAnsi="Sylfaen"/>
          <w:sz w:val="24"/>
          <w:szCs w:val="24"/>
        </w:rPr>
        <w:lastRenderedPageBreak/>
        <w:t>անդամ պետությունների տարածքներում այդպիսի արտադրանքի շրջանառության կանխարգելմանը, հայտնաբերմանն ու կանխմանը եւ (կամ) հայտնաբերված խախտումների բացասական հետեւանքների վերացմանն ուղղված՝ ձեռնարկված միջոցների վերաբերյալ.</w:t>
      </w:r>
    </w:p>
    <w:p w:rsidR="006716DA" w:rsidRPr="001E19BB" w:rsidRDefault="00D4468A" w:rsidP="005550A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5550AB">
        <w:rPr>
          <w:rFonts w:ascii="Sylfaen" w:hAnsi="Sylfaen"/>
          <w:sz w:val="24"/>
          <w:szCs w:val="24"/>
        </w:rPr>
        <w:tab/>
      </w:r>
      <w:r w:rsidRPr="001E19BB">
        <w:rPr>
          <w:rFonts w:ascii="Sylfaen" w:hAnsi="Sylfaen"/>
          <w:sz w:val="24"/>
          <w:szCs w:val="24"/>
        </w:rPr>
        <w:t>անդամ պետության տարածքում Միության տեխնիկական կանոնակարգերի պահանջներին համապատասխանության պարտադիր գնահատման ենթակա արտադրանքի՝ առանց համապատասխանության գնահատման վերաբերյալ փաստաթղթերի կամ այն անցկացնելու վերաբերյալ տեղեկությունների իրացման հայտնաբերված դեպքերի վերաբերյալ.</w:t>
      </w:r>
    </w:p>
    <w:p w:rsidR="006716DA" w:rsidRPr="001E19BB" w:rsidRDefault="00D4468A" w:rsidP="005550A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3)</w:t>
      </w:r>
      <w:r w:rsidR="005550AB">
        <w:rPr>
          <w:rFonts w:ascii="Sylfaen" w:hAnsi="Sylfaen"/>
          <w:sz w:val="24"/>
          <w:szCs w:val="24"/>
        </w:rPr>
        <w:tab/>
      </w:r>
      <w:r w:rsidRPr="001E19BB">
        <w:rPr>
          <w:rFonts w:ascii="Sylfaen" w:hAnsi="Sylfaen"/>
          <w:sz w:val="24"/>
          <w:szCs w:val="24"/>
        </w:rPr>
        <w:t>Միության տեխնիկական կանոնակարգերի՝ արտադրանքի համապատասխանության գնահատմանն առնչվող պահանջների խախտման</w:t>
      </w:r>
      <w:r w:rsidR="00703980" w:rsidRPr="001E19BB">
        <w:rPr>
          <w:rFonts w:ascii="Sylfaen" w:hAnsi="Sylfaen"/>
          <w:sz w:val="24"/>
          <w:szCs w:val="24"/>
        </w:rPr>
        <w:t>`</w:t>
      </w:r>
      <w:r w:rsidRPr="001E19BB">
        <w:rPr>
          <w:rFonts w:ascii="Sylfaen" w:hAnsi="Sylfaen"/>
          <w:sz w:val="24"/>
          <w:szCs w:val="24"/>
        </w:rPr>
        <w:t xml:space="preserve"> հայտնաբերված փաստերի վերաբերյալ` ներառյալ սերտիֆիկացման աշխատանքների կատարման կանոնները խախտելու փաստերը եւ հետազոտությունների (փորձարկումների) ու չափումների ոչ հավաստի արդյունքներ ներկայացնելու փաստերը:</w:t>
      </w:r>
    </w:p>
    <w:p w:rsidR="006716DA" w:rsidRPr="001E19BB" w:rsidRDefault="00D4468A" w:rsidP="005550A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3.</w:t>
      </w:r>
      <w:r w:rsidR="005550AB">
        <w:rPr>
          <w:rFonts w:ascii="Sylfaen" w:hAnsi="Sylfaen"/>
          <w:sz w:val="24"/>
          <w:szCs w:val="24"/>
        </w:rPr>
        <w:tab/>
      </w:r>
      <w:r w:rsidRPr="001E19BB">
        <w:rPr>
          <w:rFonts w:ascii="Sylfaen" w:hAnsi="Sylfaen"/>
          <w:sz w:val="24"/>
          <w:szCs w:val="24"/>
        </w:rPr>
        <w:t xml:space="preserve">Տեղեկություններ ներկայացնելու, հավաքելու </w:t>
      </w:r>
      <w:r w:rsidR="001E19BB">
        <w:rPr>
          <w:rFonts w:ascii="Sylfaen" w:hAnsi="Sylfaen"/>
          <w:sz w:val="24"/>
          <w:szCs w:val="24"/>
        </w:rPr>
        <w:t>եւ</w:t>
      </w:r>
      <w:r w:rsidRPr="001E19BB">
        <w:rPr>
          <w:rFonts w:ascii="Sylfaen" w:hAnsi="Sylfaen"/>
          <w:sz w:val="24"/>
          <w:szCs w:val="24"/>
        </w:rPr>
        <w:t xml:space="preserve"> ամփոփելու կարգը, դրանց կազմը, սույն հոդվածի 2-րդ կետում նշված ընդհանուր տեղեկատվական ռեսուրսներում դրանք տեղադրելու կարգը, ինչպես նաեւ վտանգավոր արտադրանքի վերաբերյալ տեղեկացման համակարգի գործունեության կանոնները սահմանվում են Հանձնաժողովի կողմից:</w:t>
      </w:r>
    </w:p>
    <w:p w:rsidR="006716DA" w:rsidRPr="001E19BB" w:rsidRDefault="00D4468A" w:rsidP="005550AB">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4.</w:t>
      </w:r>
      <w:r w:rsidR="005550AB">
        <w:rPr>
          <w:rFonts w:ascii="Sylfaen" w:hAnsi="Sylfaen"/>
          <w:sz w:val="24"/>
          <w:szCs w:val="24"/>
        </w:rPr>
        <w:tab/>
      </w:r>
      <w:r w:rsidRPr="001E19BB">
        <w:rPr>
          <w:rFonts w:ascii="Sylfaen" w:hAnsi="Sylfaen"/>
          <w:sz w:val="24"/>
          <w:szCs w:val="24"/>
        </w:rPr>
        <w:t xml:space="preserve">Պետական հսկողության (վերահսկողության) մարմինները </w:t>
      </w:r>
      <w:r w:rsidR="001E19BB">
        <w:rPr>
          <w:rFonts w:ascii="Sylfaen" w:hAnsi="Sylfaen"/>
          <w:sz w:val="24"/>
          <w:szCs w:val="24"/>
        </w:rPr>
        <w:t>եւ</w:t>
      </w:r>
      <w:r w:rsidRPr="001E19BB">
        <w:rPr>
          <w:rFonts w:ascii="Sylfaen" w:hAnsi="Sylfaen"/>
          <w:sz w:val="24"/>
          <w:szCs w:val="24"/>
        </w:rPr>
        <w:t xml:space="preserve"> անդամ պետության լիազորված այլ մարմիններ ձեռնարկում են Միության տեխնիկական կանոնակարգերի պահանջներին չհամապատասխանող արտադրանքն անդամ պետությունների տարածքներում շրջանառության մեջ դնել</w:t>
      </w:r>
      <w:r w:rsidR="00AD5E9B" w:rsidRPr="001E19BB">
        <w:rPr>
          <w:rFonts w:ascii="Sylfaen" w:hAnsi="Sylfaen"/>
          <w:sz w:val="24"/>
          <w:szCs w:val="24"/>
        </w:rPr>
        <w:t>ու</w:t>
      </w:r>
      <w:r w:rsidRPr="001E19BB">
        <w:rPr>
          <w:rFonts w:ascii="Sylfaen" w:hAnsi="Sylfaen"/>
          <w:sz w:val="24"/>
          <w:szCs w:val="24"/>
        </w:rPr>
        <w:t xml:space="preserve"> </w:t>
      </w:r>
      <w:r w:rsidR="001E19BB">
        <w:rPr>
          <w:rFonts w:ascii="Sylfaen" w:hAnsi="Sylfaen"/>
          <w:sz w:val="24"/>
          <w:szCs w:val="24"/>
        </w:rPr>
        <w:t>եւ</w:t>
      </w:r>
      <w:r w:rsidRPr="001E19BB">
        <w:rPr>
          <w:rFonts w:ascii="Sylfaen" w:hAnsi="Sylfaen"/>
          <w:sz w:val="24"/>
          <w:szCs w:val="24"/>
        </w:rPr>
        <w:t xml:space="preserve"> դրա շրջանառությ</w:t>
      </w:r>
      <w:r w:rsidR="00AD5E9B" w:rsidRPr="001E19BB">
        <w:rPr>
          <w:rFonts w:ascii="Sylfaen" w:hAnsi="Sylfaen"/>
          <w:sz w:val="24"/>
          <w:szCs w:val="24"/>
        </w:rPr>
        <w:t>ա</w:t>
      </w:r>
      <w:r w:rsidRPr="001E19BB">
        <w:rPr>
          <w:rFonts w:ascii="Sylfaen" w:hAnsi="Sylfaen"/>
          <w:sz w:val="24"/>
          <w:szCs w:val="24"/>
        </w:rPr>
        <w:t>ն</w:t>
      </w:r>
      <w:r w:rsidR="00AD5E9B" w:rsidRPr="001E19BB">
        <w:rPr>
          <w:rFonts w:ascii="Sylfaen" w:hAnsi="Sylfaen"/>
          <w:sz w:val="24"/>
          <w:szCs w:val="24"/>
        </w:rPr>
        <w:t xml:space="preserve"> </w:t>
      </w:r>
      <w:r w:rsidRPr="001E19BB">
        <w:rPr>
          <w:rFonts w:ascii="Sylfaen" w:hAnsi="Sylfaen"/>
          <w:sz w:val="24"/>
          <w:szCs w:val="24"/>
        </w:rPr>
        <w:t>կանխարգել</w:t>
      </w:r>
      <w:r w:rsidR="00AD5E9B" w:rsidRPr="001E19BB">
        <w:rPr>
          <w:rFonts w:ascii="Sylfaen" w:hAnsi="Sylfaen"/>
          <w:sz w:val="24"/>
          <w:szCs w:val="24"/>
        </w:rPr>
        <w:t xml:space="preserve">մանն ու </w:t>
      </w:r>
      <w:r w:rsidRPr="001E19BB">
        <w:rPr>
          <w:rFonts w:ascii="Sylfaen" w:hAnsi="Sylfaen"/>
          <w:sz w:val="24"/>
          <w:szCs w:val="24"/>
        </w:rPr>
        <w:t>կանխ</w:t>
      </w:r>
      <w:r w:rsidR="00AD5E9B" w:rsidRPr="001E19BB">
        <w:rPr>
          <w:rFonts w:ascii="Sylfaen" w:hAnsi="Sylfaen"/>
          <w:sz w:val="24"/>
          <w:szCs w:val="24"/>
        </w:rPr>
        <w:t>մանն</w:t>
      </w:r>
      <w:r w:rsidRPr="001E19BB">
        <w:rPr>
          <w:rFonts w:ascii="Sylfaen" w:hAnsi="Sylfaen"/>
          <w:sz w:val="24"/>
          <w:szCs w:val="24"/>
        </w:rPr>
        <w:t xml:space="preserve"> ուղղված՝ անդամ պետության օրենսդրությամբ նախատեսված միջոցներն այն դեպքում, երբ այդպիսի արտադրանքի մասին տեղեկատվություն է պարունակվում վտանգավոր արտադրանքի վերաբերյալ տեղեկացման համակարգում:</w:t>
      </w:r>
    </w:p>
    <w:p w:rsidR="006716DA" w:rsidRPr="001E19BB" w:rsidRDefault="0011725C" w:rsidP="009310E6">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lastRenderedPageBreak/>
        <w:t>Հոդված 9</w:t>
      </w:r>
    </w:p>
    <w:p w:rsidR="006716DA" w:rsidRPr="001E19BB" w:rsidRDefault="00D4468A"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15439D">
        <w:rPr>
          <w:rFonts w:ascii="Sylfaen" w:hAnsi="Sylfaen"/>
          <w:sz w:val="24"/>
          <w:szCs w:val="24"/>
        </w:rPr>
        <w:tab/>
      </w:r>
      <w:r w:rsidRPr="001E19BB">
        <w:rPr>
          <w:rFonts w:ascii="Sylfaen" w:hAnsi="Sylfaen"/>
          <w:sz w:val="24"/>
          <w:szCs w:val="24"/>
        </w:rPr>
        <w:t>Պետական հսկողության (վերահսկողության) մարմինները փոխգործակցում են հետեւյալ նպատակներով՝</w:t>
      </w:r>
    </w:p>
    <w:p w:rsidR="006716DA" w:rsidRPr="001E19BB" w:rsidRDefault="00B77466"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15439D">
        <w:rPr>
          <w:rFonts w:ascii="Sylfaen" w:hAnsi="Sylfaen"/>
          <w:sz w:val="24"/>
          <w:szCs w:val="24"/>
        </w:rPr>
        <w:tab/>
      </w:r>
      <w:r w:rsidR="0011725C" w:rsidRPr="001E19BB">
        <w:rPr>
          <w:rFonts w:ascii="Sylfaen" w:hAnsi="Sylfaen"/>
          <w:sz w:val="24"/>
          <w:szCs w:val="24"/>
        </w:rPr>
        <w:t>անդամ պետությունների տարածքներում Միության տեխնիկական կանոնակարգերի պահանջներին չհամապատասխանող արտադրանքի հայտնաբերում, այդ թվում՝ համապատասխանության գնահատման վերաբերյալ փաստաթղթի գործողությունը կասեցնելու կամ դադարեցնելու (փաստաթուղթն անվավեր ճանաչելու) անհրաժեշտության վերաբերյալ այդ փաստաթուղթը տրամադրած մարմնին կամ այդ փաստաթուղթն ընդունած իրավաբանական անձին կամ անհատ ձեռնարկատիրոջը կարգադրագիր տալու մասին որոշում կայացնելու նպատակներով.</w:t>
      </w:r>
    </w:p>
    <w:p w:rsidR="006716DA" w:rsidRPr="001E19BB" w:rsidRDefault="00BA6488"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15439D">
        <w:rPr>
          <w:rFonts w:ascii="Sylfaen" w:hAnsi="Sylfaen"/>
          <w:sz w:val="24"/>
          <w:szCs w:val="24"/>
        </w:rPr>
        <w:tab/>
      </w:r>
      <w:r w:rsidR="0011725C" w:rsidRPr="001E19BB">
        <w:rPr>
          <w:rFonts w:ascii="Sylfaen" w:hAnsi="Sylfaen"/>
          <w:sz w:val="24"/>
          <w:szCs w:val="24"/>
        </w:rPr>
        <w:t xml:space="preserve">Միության տեխնիկական կանոնակարգերի պահանջներին չհամապատասխանող արտադրանքն անդամ պետությունների տարածքներում շրջանառության մեջ դնելու </w:t>
      </w:r>
      <w:r w:rsidRPr="001E19BB">
        <w:rPr>
          <w:rFonts w:ascii="Sylfaen" w:hAnsi="Sylfaen"/>
          <w:sz w:val="24"/>
          <w:szCs w:val="24"/>
        </w:rPr>
        <w:t>եւ</w:t>
      </w:r>
      <w:r w:rsidR="0011725C" w:rsidRPr="001E19BB">
        <w:rPr>
          <w:rFonts w:ascii="Sylfaen" w:hAnsi="Sylfaen"/>
          <w:sz w:val="24"/>
          <w:szCs w:val="24"/>
        </w:rPr>
        <w:t xml:space="preserve"> դրա շրջանառության կանխում:</w:t>
      </w:r>
    </w:p>
    <w:p w:rsidR="006716DA" w:rsidRPr="001E19BB" w:rsidRDefault="00D4468A"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BA6488" w:rsidRPr="001E19BB">
        <w:rPr>
          <w:rFonts w:ascii="Sylfaen" w:hAnsi="Sylfaen"/>
          <w:sz w:val="24"/>
          <w:szCs w:val="24"/>
        </w:rPr>
        <w:t>.</w:t>
      </w:r>
      <w:r w:rsidR="0015439D">
        <w:rPr>
          <w:rFonts w:ascii="Sylfaen" w:hAnsi="Sylfaen"/>
          <w:sz w:val="24"/>
          <w:szCs w:val="24"/>
        </w:rPr>
        <w:tab/>
      </w:r>
      <w:r w:rsidRPr="001E19BB">
        <w:rPr>
          <w:rFonts w:ascii="Sylfaen" w:hAnsi="Sylfaen"/>
          <w:sz w:val="24"/>
          <w:szCs w:val="24"/>
        </w:rPr>
        <w:t>Համապատասխանության գնահատման վերաբերյալ փաստաթղթերի գործողության կասեցումը կամ դադարեցումը (դրանց անվավեր ճանաչումը) իրականացվում է անդամ պետության</w:t>
      </w:r>
      <w:r w:rsidR="0058040A" w:rsidRPr="001E19BB">
        <w:rPr>
          <w:rFonts w:ascii="Sylfaen" w:hAnsi="Sylfaen"/>
          <w:sz w:val="24"/>
          <w:szCs w:val="24"/>
        </w:rPr>
        <w:t xml:space="preserve"> </w:t>
      </w:r>
      <w:r w:rsidRPr="001E19BB">
        <w:rPr>
          <w:rFonts w:ascii="Sylfaen" w:hAnsi="Sylfaen"/>
          <w:sz w:val="24"/>
          <w:szCs w:val="24"/>
        </w:rPr>
        <w:t>պետական հսկողութ</w:t>
      </w:r>
      <w:r w:rsidR="0058040A" w:rsidRPr="001E19BB">
        <w:rPr>
          <w:rFonts w:ascii="Sylfaen" w:hAnsi="Sylfaen"/>
          <w:sz w:val="24"/>
          <w:szCs w:val="24"/>
        </w:rPr>
        <w:t>յան (վերահսկողության) մարմինների եւ (կամ)</w:t>
      </w:r>
      <w:r w:rsidR="00DC474F" w:rsidRPr="001E19BB">
        <w:rPr>
          <w:rFonts w:ascii="Sylfaen" w:hAnsi="Sylfaen"/>
          <w:sz w:val="24"/>
          <w:szCs w:val="24"/>
        </w:rPr>
        <w:t xml:space="preserve"> այլ լիազորված անձանց կողմից՝ տվյալ անդամ պետության օրենսդրությանը</w:t>
      </w:r>
      <w:r w:rsidRPr="001E19BB">
        <w:rPr>
          <w:rFonts w:ascii="Sylfaen" w:hAnsi="Sylfaen"/>
          <w:sz w:val="24"/>
          <w:szCs w:val="24"/>
        </w:rPr>
        <w:t xml:space="preserve"> համապատասխան</w:t>
      </w:r>
      <w:r w:rsidR="00DC474F" w:rsidRPr="001E19BB">
        <w:rPr>
          <w:rFonts w:ascii="Sylfaen" w:hAnsi="Sylfaen"/>
          <w:sz w:val="24"/>
          <w:szCs w:val="24"/>
        </w:rPr>
        <w:t>:</w:t>
      </w:r>
    </w:p>
    <w:p w:rsidR="006716DA" w:rsidRDefault="00D4468A"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3</w:t>
      </w:r>
      <w:r w:rsidR="00BA6488" w:rsidRPr="001E19BB">
        <w:rPr>
          <w:rFonts w:ascii="Sylfaen" w:hAnsi="Sylfaen"/>
          <w:sz w:val="24"/>
          <w:szCs w:val="24"/>
        </w:rPr>
        <w:t>.</w:t>
      </w:r>
      <w:r w:rsidR="0015439D">
        <w:rPr>
          <w:rFonts w:ascii="Sylfaen" w:hAnsi="Sylfaen"/>
          <w:sz w:val="24"/>
          <w:szCs w:val="24"/>
        </w:rPr>
        <w:tab/>
      </w:r>
      <w:r w:rsidRPr="001E19BB">
        <w:rPr>
          <w:rFonts w:ascii="Sylfaen" w:hAnsi="Sylfaen"/>
          <w:sz w:val="24"/>
          <w:szCs w:val="24"/>
        </w:rPr>
        <w:t xml:space="preserve">Անդամ պետությունը, որը համաձայն չէ </w:t>
      </w:r>
      <w:r w:rsidR="0002123D" w:rsidRPr="001E19BB">
        <w:rPr>
          <w:rFonts w:ascii="Sylfaen" w:hAnsi="Sylfaen"/>
          <w:sz w:val="24"/>
          <w:szCs w:val="24"/>
        </w:rPr>
        <w:t>այլ</w:t>
      </w:r>
      <w:r w:rsidRPr="001E19BB">
        <w:rPr>
          <w:rFonts w:ascii="Sylfaen" w:hAnsi="Sylfaen"/>
          <w:sz w:val="24"/>
          <w:szCs w:val="24"/>
        </w:rPr>
        <w:t xml:space="preserve"> անդամ պետության պետական հսկողության (վերահսկողության) մարմնի կողմից անցկացված միջոցառումների արդյունքների հետ, </w:t>
      </w:r>
      <w:r w:rsidR="00DC474F" w:rsidRPr="001E19BB">
        <w:rPr>
          <w:rFonts w:ascii="Sylfaen" w:hAnsi="Sylfaen"/>
          <w:sz w:val="24"/>
          <w:szCs w:val="24"/>
        </w:rPr>
        <w:t xml:space="preserve">կարող է </w:t>
      </w:r>
      <w:r w:rsidR="0002123D" w:rsidRPr="001E19BB">
        <w:rPr>
          <w:rFonts w:ascii="Sylfaen" w:hAnsi="Sylfaen"/>
          <w:sz w:val="24"/>
          <w:szCs w:val="24"/>
        </w:rPr>
        <w:t>համապատասխան արտադրանքի մասով այդ անդամ պետության պետական հսկողության (վերահսկողության) մարմնի կողմից ձեռնարկված միջոցների հիմնավորվածության հարցի քննարկման համար (հաշվի առնելով Միության տեխնիկական կանոնակարգերով սահմանված պահանջները) դիմել Հանձնաժողով։</w:t>
      </w:r>
    </w:p>
    <w:p w:rsidR="0015439D" w:rsidRPr="001E19BB" w:rsidRDefault="0015439D" w:rsidP="0015439D">
      <w:pPr>
        <w:pStyle w:val="Bodytext20"/>
        <w:shd w:val="clear" w:color="auto" w:fill="auto"/>
        <w:tabs>
          <w:tab w:val="left" w:pos="1134"/>
        </w:tabs>
        <w:spacing w:after="160" w:line="360" w:lineRule="auto"/>
        <w:ind w:firstLine="567"/>
        <w:jc w:val="both"/>
        <w:rPr>
          <w:rFonts w:ascii="Sylfaen" w:hAnsi="Sylfaen"/>
          <w:sz w:val="24"/>
          <w:szCs w:val="24"/>
        </w:rPr>
      </w:pPr>
    </w:p>
    <w:p w:rsidR="0002123D" w:rsidRPr="001E19BB" w:rsidRDefault="008F69D6" w:rsidP="001E19BB">
      <w:pPr>
        <w:pStyle w:val="Bodytext20"/>
        <w:spacing w:after="160" w:line="360" w:lineRule="auto"/>
        <w:ind w:firstLine="567"/>
        <w:jc w:val="both"/>
        <w:rPr>
          <w:rFonts w:ascii="Sylfaen" w:hAnsi="Sylfaen"/>
          <w:sz w:val="24"/>
          <w:szCs w:val="24"/>
        </w:rPr>
      </w:pPr>
      <w:r w:rsidRPr="001E19BB">
        <w:rPr>
          <w:rFonts w:ascii="Sylfaen" w:hAnsi="Sylfaen"/>
          <w:sz w:val="24"/>
          <w:szCs w:val="24"/>
        </w:rPr>
        <w:lastRenderedPageBreak/>
        <w:t>Հանձնաժողովի կոլեգիան ա</w:t>
      </w:r>
      <w:r w:rsidR="0002123D" w:rsidRPr="001E19BB">
        <w:rPr>
          <w:rFonts w:ascii="Sylfaen" w:hAnsi="Sylfaen"/>
          <w:sz w:val="24"/>
          <w:szCs w:val="24"/>
        </w:rPr>
        <w:t>յդպիսի դիմումի քննարկման արդյունքներով կարող է առաջարկել այն անդամ պետությանը, որի պետական հսկողության (վերահսկողության) մարմնի կողմից կայացվել է համապատասխան միջոցը կիրառելու որոշումը, վերանայել պետական հսկողության (վերահսկողության) միջոցառումների արդյունքները՝ հաշվի առնելով Միության տեխնիկական կանոնակարգերով սահմանված պահանջները:</w:t>
      </w:r>
    </w:p>
    <w:p w:rsidR="00DC474F" w:rsidRPr="001E19BB" w:rsidRDefault="0002123D"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Նշված դիմումների քննարկման կարգը սահմանվում է Հանձնաժողովի կողմից:</w:t>
      </w:r>
    </w:p>
    <w:p w:rsidR="006716DA" w:rsidRPr="001E19BB" w:rsidRDefault="006716DA" w:rsidP="001E19BB">
      <w:pPr>
        <w:spacing w:after="160" w:line="360" w:lineRule="auto"/>
        <w:ind w:firstLine="567"/>
        <w:jc w:val="both"/>
      </w:pPr>
    </w:p>
    <w:p w:rsidR="006716DA" w:rsidRPr="001E19BB" w:rsidRDefault="0011725C" w:rsidP="0015439D">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t>Հոդված 10</w:t>
      </w:r>
    </w:p>
    <w:p w:rsidR="006716DA" w:rsidRPr="001E19BB" w:rsidRDefault="00D4468A"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15439D">
        <w:rPr>
          <w:rFonts w:ascii="Sylfaen" w:hAnsi="Sylfaen"/>
          <w:sz w:val="24"/>
          <w:szCs w:val="24"/>
        </w:rPr>
        <w:tab/>
      </w:r>
      <w:r w:rsidRPr="001E19BB">
        <w:rPr>
          <w:rFonts w:ascii="Sylfaen" w:hAnsi="Sylfaen"/>
          <w:sz w:val="24"/>
          <w:szCs w:val="24"/>
        </w:rPr>
        <w:t>Անդամ պետություններն ապահովում են, որ Հանձնաժողով ներկայացվի պետական հսկողության (վերահսկողության) մարմինների վերաբերյալ տեղեկատվություն</w:t>
      </w:r>
      <w:r w:rsidR="00C04AAA" w:rsidRPr="001E19BB">
        <w:rPr>
          <w:rFonts w:ascii="Sylfaen" w:hAnsi="Sylfaen"/>
          <w:sz w:val="24"/>
          <w:szCs w:val="24"/>
        </w:rPr>
        <w:t>՝</w:t>
      </w:r>
      <w:r w:rsidRPr="001E19BB">
        <w:rPr>
          <w:rFonts w:ascii="Sylfaen" w:hAnsi="Sylfaen"/>
          <w:sz w:val="24"/>
          <w:szCs w:val="24"/>
        </w:rPr>
        <w:t xml:space="preserve"> </w:t>
      </w:r>
      <w:r w:rsidR="00C04AAA" w:rsidRPr="001E19BB">
        <w:rPr>
          <w:rFonts w:ascii="Sylfaen" w:hAnsi="Sylfaen"/>
          <w:sz w:val="24"/>
          <w:szCs w:val="24"/>
        </w:rPr>
        <w:t xml:space="preserve">նշելով </w:t>
      </w:r>
      <w:r w:rsidRPr="001E19BB">
        <w:rPr>
          <w:rFonts w:ascii="Sylfaen" w:hAnsi="Sylfaen"/>
          <w:sz w:val="24"/>
          <w:szCs w:val="24"/>
        </w:rPr>
        <w:t>այն նորմատիվ իրավական ակտեր</w:t>
      </w:r>
      <w:r w:rsidR="00DD1738" w:rsidRPr="001E19BB">
        <w:rPr>
          <w:rFonts w:ascii="Sylfaen" w:hAnsi="Sylfaen"/>
          <w:sz w:val="24"/>
          <w:szCs w:val="24"/>
        </w:rPr>
        <w:t>ը</w:t>
      </w:r>
      <w:r w:rsidRPr="001E19BB">
        <w:rPr>
          <w:rFonts w:ascii="Sylfaen" w:hAnsi="Sylfaen"/>
          <w:sz w:val="24"/>
          <w:szCs w:val="24"/>
        </w:rPr>
        <w:t>, որոնց</w:t>
      </w:r>
      <w:r w:rsidR="00C04AAA" w:rsidRPr="001E19BB">
        <w:rPr>
          <w:rFonts w:ascii="Sylfaen" w:hAnsi="Sylfaen"/>
          <w:sz w:val="24"/>
          <w:szCs w:val="24"/>
        </w:rPr>
        <w:t xml:space="preserve">ով </w:t>
      </w:r>
      <w:r w:rsidRPr="001E19BB">
        <w:rPr>
          <w:rFonts w:ascii="Sylfaen" w:hAnsi="Sylfaen"/>
          <w:sz w:val="24"/>
          <w:szCs w:val="24"/>
        </w:rPr>
        <w:t>այդ մարմիններին տրվում են համապատասխան լիազորություններ, ինչպես նաեւ այն նորմատիվ իրավական ակտերի վերաբերյալ տեղեկատվությ</w:t>
      </w:r>
      <w:r w:rsidR="00DD1738" w:rsidRPr="001E19BB">
        <w:rPr>
          <w:rFonts w:ascii="Sylfaen" w:hAnsi="Sylfaen"/>
          <w:sz w:val="24"/>
          <w:szCs w:val="24"/>
        </w:rPr>
        <w:t>ունը</w:t>
      </w:r>
      <w:r w:rsidRPr="001E19BB">
        <w:rPr>
          <w:rFonts w:ascii="Sylfaen" w:hAnsi="Sylfaen"/>
          <w:sz w:val="24"/>
          <w:szCs w:val="24"/>
        </w:rPr>
        <w:t>, որոնցով սահմանվում է անդամ պետություններում պետական հսկողություն (վերահսկողություն) անցկացնելու կարգը:</w:t>
      </w:r>
    </w:p>
    <w:p w:rsidR="006716DA" w:rsidRPr="001E19BB" w:rsidRDefault="00D4468A"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15439D">
        <w:rPr>
          <w:rFonts w:ascii="Sylfaen" w:hAnsi="Sylfaen"/>
          <w:sz w:val="24"/>
          <w:szCs w:val="24"/>
        </w:rPr>
        <w:tab/>
      </w:r>
      <w:r w:rsidRPr="001E19BB">
        <w:rPr>
          <w:rFonts w:ascii="Sylfaen" w:hAnsi="Sylfaen"/>
          <w:sz w:val="24"/>
          <w:szCs w:val="24"/>
        </w:rPr>
        <w:t>Հանձնաժողովն ապահովում է սույն հոդվածի 1-ին կետում նշված տեղեկատվության տեղադրումը Միության պաշտոնական կայքում:</w:t>
      </w:r>
    </w:p>
    <w:p w:rsidR="006716DA" w:rsidRPr="001E19BB" w:rsidRDefault="006716DA" w:rsidP="001E19BB">
      <w:pPr>
        <w:spacing w:after="160" w:line="360" w:lineRule="auto"/>
        <w:jc w:val="both"/>
      </w:pPr>
    </w:p>
    <w:p w:rsidR="006716DA" w:rsidRPr="001E19BB" w:rsidRDefault="0011725C" w:rsidP="0015439D">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t>Հոդված 11</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Սույն համաձայնագրի կիրառման եւ (կամ) մեկնաբանման հետ կապված վեճերը կարգավորվում են «Եվրասիական տնտեսական միության մասին» 2014</w:t>
      </w:r>
      <w:r w:rsidR="00B543B3">
        <w:rPr>
          <w:rFonts w:ascii="Sylfaen" w:hAnsi="Sylfaen"/>
          <w:sz w:val="24"/>
          <w:szCs w:val="24"/>
        </w:rPr>
        <w:t> </w:t>
      </w:r>
      <w:r w:rsidRPr="001E19BB">
        <w:rPr>
          <w:rFonts w:ascii="Sylfaen" w:hAnsi="Sylfaen"/>
          <w:sz w:val="24"/>
          <w:szCs w:val="24"/>
        </w:rPr>
        <w:t>թվականի մայիսի 29-ի պայմանագրով սահմանված կարգով:</w:t>
      </w:r>
    </w:p>
    <w:p w:rsidR="0015439D" w:rsidRDefault="0015439D">
      <w:r>
        <w:br w:type="page"/>
      </w:r>
    </w:p>
    <w:p w:rsidR="006716DA" w:rsidRPr="001E19BB" w:rsidRDefault="0011725C" w:rsidP="0015439D">
      <w:pPr>
        <w:pStyle w:val="Bodytext20"/>
        <w:shd w:val="clear" w:color="auto" w:fill="auto"/>
        <w:spacing w:after="160" w:line="360" w:lineRule="auto"/>
        <w:jc w:val="center"/>
        <w:rPr>
          <w:rFonts w:ascii="Sylfaen" w:hAnsi="Sylfaen"/>
          <w:sz w:val="24"/>
          <w:szCs w:val="24"/>
        </w:rPr>
      </w:pPr>
      <w:r w:rsidRPr="001E19BB">
        <w:rPr>
          <w:rFonts w:ascii="Sylfaen" w:hAnsi="Sylfaen"/>
          <w:sz w:val="24"/>
          <w:szCs w:val="24"/>
        </w:rPr>
        <w:lastRenderedPageBreak/>
        <w:t>Հոդված 12</w:t>
      </w:r>
    </w:p>
    <w:p w:rsidR="006716DA" w:rsidRPr="001E19BB" w:rsidRDefault="00D4468A"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1.</w:t>
      </w:r>
      <w:r w:rsidR="0015439D">
        <w:rPr>
          <w:rFonts w:ascii="Sylfaen" w:hAnsi="Sylfaen"/>
          <w:sz w:val="24"/>
          <w:szCs w:val="24"/>
        </w:rPr>
        <w:tab/>
      </w:r>
      <w:r w:rsidRPr="001E19BB">
        <w:rPr>
          <w:rFonts w:ascii="Sylfaen" w:hAnsi="Sylfaen"/>
          <w:sz w:val="24"/>
          <w:szCs w:val="24"/>
        </w:rPr>
        <w:t>Սույն համաձայնագիրը Միության շրջանակներում կնքված միջազգային պայմանագիր է եւ Միության իրավունքի մաս</w:t>
      </w:r>
      <w:r w:rsidR="00DD1738" w:rsidRPr="001E19BB">
        <w:rPr>
          <w:rFonts w:ascii="Sylfaen" w:hAnsi="Sylfaen"/>
          <w:sz w:val="24"/>
          <w:szCs w:val="24"/>
        </w:rPr>
        <w:t>ն</w:t>
      </w:r>
      <w:r w:rsidRPr="001E19BB">
        <w:rPr>
          <w:rFonts w:ascii="Sylfaen" w:hAnsi="Sylfaen"/>
          <w:sz w:val="24"/>
          <w:szCs w:val="24"/>
        </w:rPr>
        <w:t xml:space="preserve"> է կազմում։</w:t>
      </w:r>
    </w:p>
    <w:p w:rsidR="006716DA" w:rsidRPr="001E19BB" w:rsidRDefault="00D4468A" w:rsidP="0015439D">
      <w:pPr>
        <w:pStyle w:val="Bodytext20"/>
        <w:shd w:val="clear" w:color="auto" w:fill="auto"/>
        <w:tabs>
          <w:tab w:val="left" w:pos="1134"/>
        </w:tabs>
        <w:spacing w:after="160" w:line="360" w:lineRule="auto"/>
        <w:ind w:firstLine="567"/>
        <w:jc w:val="both"/>
        <w:rPr>
          <w:rFonts w:ascii="Sylfaen" w:hAnsi="Sylfaen"/>
          <w:sz w:val="24"/>
          <w:szCs w:val="24"/>
        </w:rPr>
      </w:pPr>
      <w:r w:rsidRPr="001E19BB">
        <w:rPr>
          <w:rFonts w:ascii="Sylfaen" w:hAnsi="Sylfaen"/>
          <w:sz w:val="24"/>
          <w:szCs w:val="24"/>
        </w:rPr>
        <w:t>2.</w:t>
      </w:r>
      <w:r w:rsidR="0015439D">
        <w:rPr>
          <w:rFonts w:ascii="Sylfaen" w:hAnsi="Sylfaen"/>
          <w:sz w:val="24"/>
          <w:szCs w:val="24"/>
        </w:rPr>
        <w:tab/>
      </w:r>
      <w:r w:rsidRPr="001E19BB">
        <w:rPr>
          <w:rFonts w:ascii="Sylfaen" w:hAnsi="Sylfaen"/>
          <w:sz w:val="24"/>
          <w:szCs w:val="24"/>
        </w:rPr>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30 օրացուցային օրը լրանալուց հետո։</w:t>
      </w:r>
    </w:p>
    <w:p w:rsidR="006716DA" w:rsidRDefault="00D4468A" w:rsidP="0015439D">
      <w:pPr>
        <w:pStyle w:val="Bodytext20"/>
        <w:shd w:val="clear" w:color="auto" w:fill="auto"/>
        <w:tabs>
          <w:tab w:val="left" w:pos="1134"/>
        </w:tabs>
        <w:spacing w:after="160" w:line="360" w:lineRule="auto"/>
        <w:ind w:firstLine="567"/>
        <w:jc w:val="both"/>
        <w:rPr>
          <w:rFonts w:ascii="Sylfaen" w:hAnsi="Sylfaen"/>
          <w:sz w:val="24"/>
          <w:szCs w:val="24"/>
        </w:rPr>
      </w:pPr>
      <w:r w:rsidRPr="0015439D">
        <w:rPr>
          <w:rFonts w:ascii="Sylfaen" w:hAnsi="Sylfaen"/>
          <w:spacing w:val="-4"/>
          <w:sz w:val="24"/>
          <w:szCs w:val="24"/>
        </w:rPr>
        <w:t>3.</w:t>
      </w:r>
      <w:r w:rsidR="0015439D" w:rsidRPr="0015439D">
        <w:rPr>
          <w:rFonts w:ascii="Sylfaen" w:hAnsi="Sylfaen"/>
          <w:spacing w:val="-4"/>
          <w:sz w:val="24"/>
          <w:szCs w:val="24"/>
        </w:rPr>
        <w:tab/>
      </w:r>
      <w:r w:rsidRPr="0015439D">
        <w:rPr>
          <w:rFonts w:ascii="Sylfaen" w:hAnsi="Sylfaen"/>
          <w:spacing w:val="-4"/>
          <w:sz w:val="24"/>
          <w:szCs w:val="24"/>
        </w:rPr>
        <w:t>Անդամ պետությունների փոխադարձ համաձայնությամբ</w:t>
      </w:r>
      <w:r w:rsidR="0098192A" w:rsidRPr="0015439D">
        <w:rPr>
          <w:rFonts w:ascii="Sylfaen" w:hAnsi="Sylfaen"/>
          <w:spacing w:val="-4"/>
          <w:sz w:val="24"/>
          <w:szCs w:val="24"/>
        </w:rPr>
        <w:t>՝</w:t>
      </w:r>
      <w:r w:rsidRPr="0015439D">
        <w:rPr>
          <w:rFonts w:ascii="Sylfaen" w:hAnsi="Sylfaen"/>
          <w:spacing w:val="-4"/>
          <w:sz w:val="24"/>
          <w:szCs w:val="24"/>
        </w:rPr>
        <w:t xml:space="preserve"> սույն համաձայնագրում կարող են կատարվել փոփոխություններ, որոնք ձեւակերպվում են առանձին արձանագրություններով եւ</w:t>
      </w:r>
      <w:r w:rsidRPr="001E19BB">
        <w:rPr>
          <w:rFonts w:ascii="Sylfaen" w:hAnsi="Sylfaen"/>
          <w:sz w:val="24"/>
          <w:szCs w:val="24"/>
        </w:rPr>
        <w:t xml:space="preserve"> սույն համաձայնագրի անբաժանելի մաս</w:t>
      </w:r>
      <w:r w:rsidR="00DD1738" w:rsidRPr="001E19BB">
        <w:rPr>
          <w:rFonts w:ascii="Sylfaen" w:hAnsi="Sylfaen"/>
          <w:sz w:val="24"/>
          <w:szCs w:val="24"/>
        </w:rPr>
        <w:t>ն են կազմում</w:t>
      </w:r>
      <w:r w:rsidRPr="001E19BB">
        <w:rPr>
          <w:rFonts w:ascii="Sylfaen" w:hAnsi="Sylfaen"/>
          <w:sz w:val="24"/>
          <w:szCs w:val="24"/>
        </w:rPr>
        <w:t>։</w:t>
      </w:r>
    </w:p>
    <w:p w:rsidR="0015439D" w:rsidRPr="001E19BB" w:rsidRDefault="0015439D" w:rsidP="0015439D">
      <w:pPr>
        <w:pStyle w:val="Bodytext20"/>
        <w:shd w:val="clear" w:color="auto" w:fill="auto"/>
        <w:tabs>
          <w:tab w:val="left" w:pos="1134"/>
        </w:tabs>
        <w:spacing w:after="160" w:line="360" w:lineRule="auto"/>
        <w:ind w:firstLine="567"/>
        <w:jc w:val="both"/>
        <w:rPr>
          <w:rFonts w:ascii="Sylfaen" w:hAnsi="Sylfaen"/>
          <w:sz w:val="24"/>
          <w:szCs w:val="24"/>
        </w:rPr>
      </w:pP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Կատարված է ___________ քաղաքում</w:t>
      </w:r>
      <w:r w:rsidR="0098192A" w:rsidRPr="001E19BB">
        <w:rPr>
          <w:rFonts w:ascii="Sylfaen" w:hAnsi="Sylfaen"/>
          <w:sz w:val="24"/>
          <w:szCs w:val="24"/>
        </w:rPr>
        <w:t>,</w:t>
      </w:r>
      <w:r w:rsidRPr="001E19BB">
        <w:rPr>
          <w:rFonts w:ascii="Sylfaen" w:hAnsi="Sylfaen"/>
          <w:sz w:val="24"/>
          <w:szCs w:val="24"/>
        </w:rPr>
        <w:t xml:space="preserve"> 201</w:t>
      </w:r>
      <w:r w:rsidR="00703980" w:rsidRPr="001E19BB">
        <w:rPr>
          <w:rFonts w:ascii="Sylfaen" w:hAnsi="Sylfaen"/>
          <w:sz w:val="24"/>
          <w:szCs w:val="24"/>
        </w:rPr>
        <w:t>9</w:t>
      </w:r>
      <w:r w:rsidRPr="001E19BB">
        <w:rPr>
          <w:rFonts w:ascii="Sylfaen" w:hAnsi="Sylfaen"/>
          <w:sz w:val="24"/>
          <w:szCs w:val="24"/>
        </w:rPr>
        <w:t xml:space="preserve"> թվականի ___________ «___»-ին, մեկ բնօրինակից՝ ռուսերենով։</w:t>
      </w:r>
    </w:p>
    <w:p w:rsidR="006716DA" w:rsidRPr="001E19BB" w:rsidRDefault="0011725C" w:rsidP="001E19BB">
      <w:pPr>
        <w:pStyle w:val="Bodytext20"/>
        <w:shd w:val="clear" w:color="auto" w:fill="auto"/>
        <w:spacing w:after="160" w:line="360" w:lineRule="auto"/>
        <w:ind w:firstLine="567"/>
        <w:jc w:val="both"/>
        <w:rPr>
          <w:rFonts w:ascii="Sylfaen" w:hAnsi="Sylfaen"/>
          <w:sz w:val="24"/>
          <w:szCs w:val="24"/>
        </w:rPr>
      </w:pPr>
      <w:r w:rsidRPr="001E19BB">
        <w:rPr>
          <w:rFonts w:ascii="Sylfaen" w:hAnsi="Sylfaen"/>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w:t>
      </w:r>
      <w:r w:rsidR="0098192A" w:rsidRPr="001E19BB">
        <w:rPr>
          <w:rFonts w:ascii="Sylfaen" w:hAnsi="Sylfaen"/>
          <w:sz w:val="24"/>
          <w:szCs w:val="24"/>
        </w:rPr>
        <w:t>ու</w:t>
      </w:r>
      <w:r w:rsidRPr="001E19BB">
        <w:rPr>
          <w:rFonts w:ascii="Sylfaen" w:hAnsi="Sylfaen"/>
          <w:sz w:val="24"/>
          <w:szCs w:val="24"/>
        </w:rPr>
        <w:t>ն կուղարկի դրա հաստատված պատճենը։</w:t>
      </w:r>
    </w:p>
    <w:p w:rsidR="00272515" w:rsidRPr="001E19BB" w:rsidRDefault="00272515" w:rsidP="001E19BB">
      <w:pPr>
        <w:pStyle w:val="Bodytext20"/>
        <w:shd w:val="clear" w:color="auto" w:fill="auto"/>
        <w:spacing w:after="160" w:line="360" w:lineRule="auto"/>
        <w:ind w:firstLine="567"/>
        <w:jc w:val="both"/>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64"/>
        <w:gridCol w:w="2146"/>
        <w:gridCol w:w="2149"/>
        <w:gridCol w:w="2297"/>
        <w:gridCol w:w="2059"/>
      </w:tblGrid>
      <w:tr w:rsidR="006716DA" w:rsidRPr="001E19BB" w:rsidTr="00D4468A">
        <w:trPr>
          <w:jc w:val="center"/>
        </w:trPr>
        <w:tc>
          <w:tcPr>
            <w:tcW w:w="2164" w:type="dxa"/>
            <w:shd w:val="clear" w:color="auto" w:fill="FFFFFF"/>
            <w:vAlign w:val="center"/>
          </w:tcPr>
          <w:p w:rsidR="006716DA" w:rsidRPr="0015439D" w:rsidRDefault="0011725C" w:rsidP="0015439D">
            <w:pPr>
              <w:pStyle w:val="Bodytext20"/>
              <w:shd w:val="clear" w:color="auto" w:fill="auto"/>
              <w:spacing w:after="160" w:line="360" w:lineRule="auto"/>
              <w:jc w:val="center"/>
              <w:rPr>
                <w:rFonts w:ascii="Sylfaen" w:hAnsi="Sylfaen"/>
                <w:sz w:val="22"/>
                <w:szCs w:val="24"/>
              </w:rPr>
            </w:pPr>
            <w:r w:rsidRPr="0015439D">
              <w:rPr>
                <w:rStyle w:val="Bodytext213pt"/>
                <w:rFonts w:ascii="Sylfaen" w:hAnsi="Sylfaen"/>
                <w:sz w:val="22"/>
                <w:szCs w:val="24"/>
              </w:rPr>
              <w:t>Հայաստանի Հանրապետության կողմից՝</w:t>
            </w:r>
          </w:p>
        </w:tc>
        <w:tc>
          <w:tcPr>
            <w:tcW w:w="2146" w:type="dxa"/>
            <w:shd w:val="clear" w:color="auto" w:fill="FFFFFF"/>
            <w:vAlign w:val="center"/>
          </w:tcPr>
          <w:p w:rsidR="006716DA" w:rsidRPr="0015439D" w:rsidRDefault="0011725C" w:rsidP="0015439D">
            <w:pPr>
              <w:pStyle w:val="Bodytext20"/>
              <w:shd w:val="clear" w:color="auto" w:fill="auto"/>
              <w:spacing w:after="160" w:line="360" w:lineRule="auto"/>
              <w:jc w:val="center"/>
              <w:rPr>
                <w:rFonts w:ascii="Sylfaen" w:hAnsi="Sylfaen"/>
                <w:sz w:val="22"/>
                <w:szCs w:val="24"/>
              </w:rPr>
            </w:pPr>
            <w:r w:rsidRPr="0015439D">
              <w:rPr>
                <w:rStyle w:val="Bodytext213pt"/>
                <w:rFonts w:ascii="Sylfaen" w:hAnsi="Sylfaen"/>
                <w:sz w:val="22"/>
                <w:szCs w:val="24"/>
              </w:rPr>
              <w:t>Բելառուսի Հանրապետության կողմից՝</w:t>
            </w:r>
          </w:p>
        </w:tc>
        <w:tc>
          <w:tcPr>
            <w:tcW w:w="2149" w:type="dxa"/>
            <w:shd w:val="clear" w:color="auto" w:fill="FFFFFF"/>
            <w:vAlign w:val="center"/>
          </w:tcPr>
          <w:p w:rsidR="006716DA" w:rsidRPr="0015439D" w:rsidRDefault="0011725C" w:rsidP="0015439D">
            <w:pPr>
              <w:pStyle w:val="Bodytext20"/>
              <w:shd w:val="clear" w:color="auto" w:fill="auto"/>
              <w:spacing w:after="160" w:line="360" w:lineRule="auto"/>
              <w:jc w:val="center"/>
              <w:rPr>
                <w:rFonts w:ascii="Sylfaen" w:hAnsi="Sylfaen"/>
                <w:sz w:val="22"/>
                <w:szCs w:val="24"/>
              </w:rPr>
            </w:pPr>
            <w:r w:rsidRPr="0015439D">
              <w:rPr>
                <w:rStyle w:val="Bodytext213pt"/>
                <w:rFonts w:ascii="Sylfaen" w:hAnsi="Sylfaen"/>
                <w:sz w:val="22"/>
                <w:szCs w:val="24"/>
              </w:rPr>
              <w:t>Ղազախստանի Հանրապետության կողմից՝</w:t>
            </w:r>
          </w:p>
        </w:tc>
        <w:tc>
          <w:tcPr>
            <w:tcW w:w="2297" w:type="dxa"/>
            <w:shd w:val="clear" w:color="auto" w:fill="FFFFFF"/>
            <w:vAlign w:val="center"/>
          </w:tcPr>
          <w:p w:rsidR="006716DA" w:rsidRPr="0015439D" w:rsidRDefault="0011725C" w:rsidP="0015439D">
            <w:pPr>
              <w:pStyle w:val="Bodytext20"/>
              <w:shd w:val="clear" w:color="auto" w:fill="auto"/>
              <w:spacing w:after="160" w:line="360" w:lineRule="auto"/>
              <w:jc w:val="center"/>
              <w:rPr>
                <w:rFonts w:ascii="Sylfaen" w:hAnsi="Sylfaen"/>
                <w:sz w:val="22"/>
                <w:szCs w:val="24"/>
              </w:rPr>
            </w:pPr>
            <w:r w:rsidRPr="0015439D">
              <w:rPr>
                <w:rStyle w:val="Bodytext213pt"/>
                <w:rFonts w:ascii="Sylfaen" w:hAnsi="Sylfaen"/>
                <w:sz w:val="22"/>
                <w:szCs w:val="24"/>
              </w:rPr>
              <w:t>Ղրղզստանի Հանրապետության կողմից՝</w:t>
            </w:r>
          </w:p>
        </w:tc>
        <w:tc>
          <w:tcPr>
            <w:tcW w:w="2059" w:type="dxa"/>
            <w:shd w:val="clear" w:color="auto" w:fill="FFFFFF"/>
            <w:vAlign w:val="center"/>
          </w:tcPr>
          <w:p w:rsidR="006716DA" w:rsidRPr="0015439D" w:rsidRDefault="0011725C" w:rsidP="0015439D">
            <w:pPr>
              <w:pStyle w:val="Bodytext20"/>
              <w:shd w:val="clear" w:color="auto" w:fill="auto"/>
              <w:spacing w:after="160" w:line="360" w:lineRule="auto"/>
              <w:jc w:val="center"/>
              <w:rPr>
                <w:rFonts w:ascii="Sylfaen" w:hAnsi="Sylfaen"/>
                <w:sz w:val="22"/>
                <w:szCs w:val="24"/>
              </w:rPr>
            </w:pPr>
            <w:r w:rsidRPr="0015439D">
              <w:rPr>
                <w:rStyle w:val="Bodytext213pt"/>
                <w:rFonts w:ascii="Sylfaen" w:hAnsi="Sylfaen"/>
                <w:sz w:val="22"/>
                <w:szCs w:val="24"/>
              </w:rPr>
              <w:t>Ռուսաստանի Դաշնության կողմից՝</w:t>
            </w:r>
          </w:p>
        </w:tc>
      </w:tr>
    </w:tbl>
    <w:p w:rsidR="006716DA" w:rsidRPr="001E19BB" w:rsidRDefault="006716DA" w:rsidP="001E19BB">
      <w:pPr>
        <w:spacing w:after="160" w:line="360" w:lineRule="auto"/>
        <w:jc w:val="both"/>
      </w:pPr>
    </w:p>
    <w:sectPr w:rsidR="006716DA" w:rsidRPr="001E19BB" w:rsidSect="003A1C32">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C2C" w:rsidRDefault="00212C2C" w:rsidP="006716DA">
      <w:r>
        <w:separator/>
      </w:r>
    </w:p>
  </w:endnote>
  <w:endnote w:type="continuationSeparator" w:id="0">
    <w:p w:rsidR="00212C2C" w:rsidRDefault="00212C2C" w:rsidP="0067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3951"/>
      <w:docPartObj>
        <w:docPartGallery w:val="Page Numbers (Bottom of Page)"/>
        <w:docPartUnique/>
      </w:docPartObj>
    </w:sdtPr>
    <w:sdtEndPr/>
    <w:sdtContent>
      <w:p w:rsidR="00D04EBA" w:rsidRPr="003A1C32" w:rsidRDefault="00212C2C" w:rsidP="003A1C32">
        <w:pPr>
          <w:pStyle w:val="Footer"/>
          <w:jc w:val="center"/>
        </w:pPr>
        <w:r>
          <w:rPr>
            <w:noProof/>
          </w:rPr>
          <w:fldChar w:fldCharType="begin"/>
        </w:r>
        <w:r>
          <w:rPr>
            <w:noProof/>
          </w:rPr>
          <w:instrText xml:space="preserve"> PAGE   \* MERGEFORMAT </w:instrText>
        </w:r>
        <w:r>
          <w:rPr>
            <w:noProof/>
          </w:rPr>
          <w:fldChar w:fldCharType="separate"/>
        </w:r>
        <w:r w:rsidR="007731E1">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C2C" w:rsidRDefault="00212C2C"/>
  </w:footnote>
  <w:footnote w:type="continuationSeparator" w:id="0">
    <w:p w:rsidR="00212C2C" w:rsidRDefault="00212C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2C7"/>
    <w:multiLevelType w:val="multilevel"/>
    <w:tmpl w:val="01C4F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4587E"/>
    <w:multiLevelType w:val="multilevel"/>
    <w:tmpl w:val="34FE6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D67F8"/>
    <w:multiLevelType w:val="multilevel"/>
    <w:tmpl w:val="DD721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A5EE5"/>
    <w:multiLevelType w:val="multilevel"/>
    <w:tmpl w:val="8A8A4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31231"/>
    <w:multiLevelType w:val="multilevel"/>
    <w:tmpl w:val="1F8CB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327E72"/>
    <w:multiLevelType w:val="multilevel"/>
    <w:tmpl w:val="679C2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A534EA"/>
    <w:multiLevelType w:val="multilevel"/>
    <w:tmpl w:val="49906E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DC3EB1"/>
    <w:multiLevelType w:val="multilevel"/>
    <w:tmpl w:val="8924D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4E4159"/>
    <w:multiLevelType w:val="multilevel"/>
    <w:tmpl w:val="68388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544881"/>
    <w:multiLevelType w:val="multilevel"/>
    <w:tmpl w:val="883CE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A23315"/>
    <w:multiLevelType w:val="multilevel"/>
    <w:tmpl w:val="4C40A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332FAB"/>
    <w:multiLevelType w:val="multilevel"/>
    <w:tmpl w:val="BB148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383BDF"/>
    <w:multiLevelType w:val="multilevel"/>
    <w:tmpl w:val="242E5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6"/>
  </w:num>
  <w:num w:numId="4">
    <w:abstractNumId w:val="1"/>
  </w:num>
  <w:num w:numId="5">
    <w:abstractNumId w:val="8"/>
  </w:num>
  <w:num w:numId="6">
    <w:abstractNumId w:val="3"/>
  </w:num>
  <w:num w:numId="7">
    <w:abstractNumId w:val="9"/>
  </w:num>
  <w:num w:numId="8">
    <w:abstractNumId w:val="11"/>
  </w:num>
  <w:num w:numId="9">
    <w:abstractNumId w:val="7"/>
  </w:num>
  <w:num w:numId="10">
    <w:abstractNumId w:val="4"/>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DA"/>
    <w:rsid w:val="00004936"/>
    <w:rsid w:val="000174CF"/>
    <w:rsid w:val="0002123D"/>
    <w:rsid w:val="00022F60"/>
    <w:rsid w:val="000832A0"/>
    <w:rsid w:val="000A4510"/>
    <w:rsid w:val="000A6771"/>
    <w:rsid w:val="000D0FCF"/>
    <w:rsid w:val="00100293"/>
    <w:rsid w:val="00101254"/>
    <w:rsid w:val="0011725C"/>
    <w:rsid w:val="0015439D"/>
    <w:rsid w:val="00173747"/>
    <w:rsid w:val="00175C7F"/>
    <w:rsid w:val="00175F78"/>
    <w:rsid w:val="0019125C"/>
    <w:rsid w:val="001B04CA"/>
    <w:rsid w:val="001E19BB"/>
    <w:rsid w:val="00204E05"/>
    <w:rsid w:val="00212C2C"/>
    <w:rsid w:val="002173A8"/>
    <w:rsid w:val="00272515"/>
    <w:rsid w:val="002836BC"/>
    <w:rsid w:val="0028488C"/>
    <w:rsid w:val="00310B9B"/>
    <w:rsid w:val="00311308"/>
    <w:rsid w:val="00324D93"/>
    <w:rsid w:val="0032597C"/>
    <w:rsid w:val="00380243"/>
    <w:rsid w:val="00393D5D"/>
    <w:rsid w:val="00395853"/>
    <w:rsid w:val="003A1C32"/>
    <w:rsid w:val="003C0046"/>
    <w:rsid w:val="004073CF"/>
    <w:rsid w:val="00414DAD"/>
    <w:rsid w:val="004269E3"/>
    <w:rsid w:val="00433CDD"/>
    <w:rsid w:val="00445E81"/>
    <w:rsid w:val="00456FDC"/>
    <w:rsid w:val="004B1DF2"/>
    <w:rsid w:val="004C770C"/>
    <w:rsid w:val="004F2AEA"/>
    <w:rsid w:val="004F39C6"/>
    <w:rsid w:val="004F652C"/>
    <w:rsid w:val="00544C30"/>
    <w:rsid w:val="005550AB"/>
    <w:rsid w:val="0058040A"/>
    <w:rsid w:val="005C55B6"/>
    <w:rsid w:val="00635706"/>
    <w:rsid w:val="006558D7"/>
    <w:rsid w:val="006716DA"/>
    <w:rsid w:val="00675075"/>
    <w:rsid w:val="00685D37"/>
    <w:rsid w:val="0068621D"/>
    <w:rsid w:val="00703980"/>
    <w:rsid w:val="007250F7"/>
    <w:rsid w:val="00727A1A"/>
    <w:rsid w:val="007731E1"/>
    <w:rsid w:val="0078280E"/>
    <w:rsid w:val="007D43CE"/>
    <w:rsid w:val="007F3541"/>
    <w:rsid w:val="00862BA0"/>
    <w:rsid w:val="008A5A44"/>
    <w:rsid w:val="008B0A01"/>
    <w:rsid w:val="008B46C8"/>
    <w:rsid w:val="008F0DF6"/>
    <w:rsid w:val="008F69D6"/>
    <w:rsid w:val="00916DC9"/>
    <w:rsid w:val="009310E6"/>
    <w:rsid w:val="0098192A"/>
    <w:rsid w:val="009908B3"/>
    <w:rsid w:val="00A02301"/>
    <w:rsid w:val="00A350A8"/>
    <w:rsid w:val="00A71E4B"/>
    <w:rsid w:val="00AA5930"/>
    <w:rsid w:val="00AD5E9B"/>
    <w:rsid w:val="00AF4450"/>
    <w:rsid w:val="00B22EE1"/>
    <w:rsid w:val="00B543B3"/>
    <w:rsid w:val="00B77466"/>
    <w:rsid w:val="00B86FD3"/>
    <w:rsid w:val="00BA6488"/>
    <w:rsid w:val="00BD17FC"/>
    <w:rsid w:val="00C04AAA"/>
    <w:rsid w:val="00C24175"/>
    <w:rsid w:val="00C37E47"/>
    <w:rsid w:val="00C60FFC"/>
    <w:rsid w:val="00C7750D"/>
    <w:rsid w:val="00C804F1"/>
    <w:rsid w:val="00CA39AC"/>
    <w:rsid w:val="00CA6DBB"/>
    <w:rsid w:val="00D02C56"/>
    <w:rsid w:val="00D04EBA"/>
    <w:rsid w:val="00D15B6D"/>
    <w:rsid w:val="00D21DE0"/>
    <w:rsid w:val="00D4468A"/>
    <w:rsid w:val="00D72C51"/>
    <w:rsid w:val="00D81E16"/>
    <w:rsid w:val="00D86073"/>
    <w:rsid w:val="00DA23E5"/>
    <w:rsid w:val="00DC474F"/>
    <w:rsid w:val="00DD1738"/>
    <w:rsid w:val="00DD4D00"/>
    <w:rsid w:val="00DE2FE4"/>
    <w:rsid w:val="00DE470B"/>
    <w:rsid w:val="00DE66D7"/>
    <w:rsid w:val="00E06468"/>
    <w:rsid w:val="00E22864"/>
    <w:rsid w:val="00E86F31"/>
    <w:rsid w:val="00F00B1B"/>
    <w:rsid w:val="00F2156B"/>
    <w:rsid w:val="00F54A32"/>
    <w:rsid w:val="00F60A0E"/>
    <w:rsid w:val="00FC2AE5"/>
    <w:rsid w:val="00FC7A24"/>
    <w:rsid w:val="00FD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27A66-CFB6-4608-8872-5638546E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16D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16DA"/>
    <w:rPr>
      <w:color w:val="0066CC"/>
      <w:u w:val="single"/>
    </w:rPr>
  </w:style>
  <w:style w:type="character" w:customStyle="1" w:styleId="Bodytext3">
    <w:name w:val="Body text (3)_"/>
    <w:basedOn w:val="DefaultParagraphFont"/>
    <w:link w:val="Bodytext30"/>
    <w:rsid w:val="006716DA"/>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6716DA"/>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6716DA"/>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6716DA"/>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6716DA"/>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6716DA"/>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6716DA"/>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3Spacing2pt">
    <w:name w:val="Body text (3) + Spacing 2 pt"/>
    <w:basedOn w:val="Bodytext3"/>
    <w:rsid w:val="006716DA"/>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3pt">
    <w:name w:val="Body text (2) + 13 pt"/>
    <w:aliases w:val="Bold"/>
    <w:basedOn w:val="Bodytext2"/>
    <w:rsid w:val="006716DA"/>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paragraph" w:customStyle="1" w:styleId="Bodytext30">
    <w:name w:val="Body text (3)"/>
    <w:basedOn w:val="Normal"/>
    <w:link w:val="Bodytext3"/>
    <w:rsid w:val="006716D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6716DA"/>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6716DA"/>
    <w:pPr>
      <w:shd w:val="clear" w:color="auto" w:fill="FFFFFF"/>
      <w:spacing w:line="0" w:lineRule="atLeast"/>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6716DA"/>
    <w:pPr>
      <w:shd w:val="clear" w:color="auto" w:fill="FFFFFF"/>
      <w:spacing w:line="0" w:lineRule="atLeast"/>
      <w:jc w:val="center"/>
    </w:pPr>
    <w:rPr>
      <w:rFonts w:ascii="Times New Roman" w:eastAsia="Times New Roman" w:hAnsi="Times New Roman" w:cs="Times New Roman"/>
      <w:b/>
      <w:bCs/>
      <w:sz w:val="30"/>
      <w:szCs w:val="30"/>
    </w:rPr>
  </w:style>
  <w:style w:type="character" w:customStyle="1" w:styleId="Bodytext215pt">
    <w:name w:val="Body text (2) + 15 pt"/>
    <w:basedOn w:val="Bodytext2"/>
    <w:rsid w:val="00D72C5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hy-AM" w:eastAsia="hy-AM" w:bidi="hy-AM"/>
    </w:rPr>
  </w:style>
  <w:style w:type="character" w:styleId="CommentReference">
    <w:name w:val="annotation reference"/>
    <w:basedOn w:val="DefaultParagraphFont"/>
    <w:uiPriority w:val="99"/>
    <w:semiHidden/>
    <w:unhideWhenUsed/>
    <w:rsid w:val="00DC474F"/>
    <w:rPr>
      <w:sz w:val="16"/>
      <w:szCs w:val="16"/>
    </w:rPr>
  </w:style>
  <w:style w:type="paragraph" w:styleId="CommentText">
    <w:name w:val="annotation text"/>
    <w:basedOn w:val="Normal"/>
    <w:link w:val="CommentTextChar"/>
    <w:uiPriority w:val="99"/>
    <w:semiHidden/>
    <w:unhideWhenUsed/>
    <w:rsid w:val="00DC474F"/>
    <w:rPr>
      <w:sz w:val="20"/>
      <w:szCs w:val="20"/>
    </w:rPr>
  </w:style>
  <w:style w:type="character" w:customStyle="1" w:styleId="CommentTextChar">
    <w:name w:val="Comment Text Char"/>
    <w:basedOn w:val="DefaultParagraphFont"/>
    <w:link w:val="CommentText"/>
    <w:uiPriority w:val="99"/>
    <w:semiHidden/>
    <w:rsid w:val="00DC474F"/>
    <w:rPr>
      <w:color w:val="000000"/>
      <w:sz w:val="20"/>
      <w:szCs w:val="20"/>
    </w:rPr>
  </w:style>
  <w:style w:type="paragraph" w:styleId="CommentSubject">
    <w:name w:val="annotation subject"/>
    <w:basedOn w:val="CommentText"/>
    <w:next w:val="CommentText"/>
    <w:link w:val="CommentSubjectChar"/>
    <w:uiPriority w:val="99"/>
    <w:semiHidden/>
    <w:unhideWhenUsed/>
    <w:rsid w:val="00DC474F"/>
    <w:rPr>
      <w:b/>
      <w:bCs/>
    </w:rPr>
  </w:style>
  <w:style w:type="character" w:customStyle="1" w:styleId="CommentSubjectChar">
    <w:name w:val="Comment Subject Char"/>
    <w:basedOn w:val="CommentTextChar"/>
    <w:link w:val="CommentSubject"/>
    <w:uiPriority w:val="99"/>
    <w:semiHidden/>
    <w:rsid w:val="00DC474F"/>
    <w:rPr>
      <w:b/>
      <w:bCs/>
      <w:color w:val="000000"/>
      <w:sz w:val="20"/>
      <w:szCs w:val="20"/>
    </w:rPr>
  </w:style>
  <w:style w:type="paragraph" w:styleId="Revision">
    <w:name w:val="Revision"/>
    <w:hidden/>
    <w:uiPriority w:val="99"/>
    <w:semiHidden/>
    <w:rsid w:val="00DC474F"/>
    <w:pPr>
      <w:widowControl/>
    </w:pPr>
    <w:rPr>
      <w:color w:val="000000"/>
    </w:rPr>
  </w:style>
  <w:style w:type="paragraph" w:styleId="BalloonText">
    <w:name w:val="Balloon Text"/>
    <w:basedOn w:val="Normal"/>
    <w:link w:val="BalloonTextChar"/>
    <w:uiPriority w:val="99"/>
    <w:semiHidden/>
    <w:unhideWhenUsed/>
    <w:rsid w:val="00DC474F"/>
    <w:rPr>
      <w:rFonts w:ascii="Tahoma" w:hAnsi="Tahoma" w:cs="Tahoma"/>
      <w:sz w:val="16"/>
      <w:szCs w:val="16"/>
    </w:rPr>
  </w:style>
  <w:style w:type="character" w:customStyle="1" w:styleId="BalloonTextChar">
    <w:name w:val="Balloon Text Char"/>
    <w:basedOn w:val="DefaultParagraphFont"/>
    <w:link w:val="BalloonText"/>
    <w:uiPriority w:val="99"/>
    <w:semiHidden/>
    <w:rsid w:val="00DC474F"/>
    <w:rPr>
      <w:rFonts w:ascii="Tahoma" w:hAnsi="Tahoma" w:cs="Tahoma"/>
      <w:color w:val="000000"/>
      <w:sz w:val="16"/>
      <w:szCs w:val="16"/>
    </w:rPr>
  </w:style>
  <w:style w:type="character" w:customStyle="1" w:styleId="2">
    <w:name w:val="Заголовок №2_"/>
    <w:basedOn w:val="DefaultParagraphFont"/>
    <w:link w:val="20"/>
    <w:rsid w:val="00D04EBA"/>
    <w:rPr>
      <w:rFonts w:ascii="Times New Roman" w:eastAsia="Times New Roman" w:hAnsi="Times New Roman" w:cs="Times New Roman"/>
      <w:b/>
      <w:bCs/>
      <w:sz w:val="30"/>
      <w:szCs w:val="30"/>
      <w:shd w:val="clear" w:color="auto" w:fill="FFFFFF"/>
    </w:rPr>
  </w:style>
  <w:style w:type="character" w:customStyle="1" w:styleId="3">
    <w:name w:val="Основной текст (3)_"/>
    <w:basedOn w:val="DefaultParagraphFont"/>
    <w:link w:val="30"/>
    <w:rsid w:val="00D04EBA"/>
    <w:rPr>
      <w:rFonts w:ascii="Times New Roman" w:eastAsia="Times New Roman" w:hAnsi="Times New Roman" w:cs="Times New Roman"/>
      <w:sz w:val="22"/>
      <w:szCs w:val="22"/>
      <w:shd w:val="clear" w:color="auto" w:fill="FFFFFF"/>
    </w:rPr>
  </w:style>
  <w:style w:type="character" w:customStyle="1" w:styleId="21">
    <w:name w:val="Основной текст (2)_"/>
    <w:basedOn w:val="DefaultParagraphFont"/>
    <w:link w:val="22"/>
    <w:rsid w:val="00D04EBA"/>
    <w:rPr>
      <w:rFonts w:ascii="Times New Roman" w:eastAsia="Times New Roman" w:hAnsi="Times New Roman" w:cs="Times New Roman"/>
      <w:sz w:val="28"/>
      <w:szCs w:val="28"/>
      <w:shd w:val="clear" w:color="auto" w:fill="FFFFFF"/>
    </w:rPr>
  </w:style>
  <w:style w:type="character" w:customStyle="1" w:styleId="2Impact13pt-1pt">
    <w:name w:val="Основной текст (2) + Impact;13 pt;Интервал -1 pt"/>
    <w:basedOn w:val="21"/>
    <w:rsid w:val="00D04EBA"/>
    <w:rPr>
      <w:rFonts w:ascii="Impact" w:eastAsia="Impact" w:hAnsi="Impact" w:cs="Impact"/>
      <w:color w:val="000000"/>
      <w:spacing w:val="-20"/>
      <w:w w:val="100"/>
      <w:position w:val="0"/>
      <w:sz w:val="26"/>
      <w:szCs w:val="26"/>
      <w:shd w:val="clear" w:color="auto" w:fill="FFFFFF"/>
      <w:lang w:val="hy-AM" w:eastAsia="hy-AM" w:bidi="hy-AM"/>
    </w:rPr>
  </w:style>
  <w:style w:type="character" w:customStyle="1" w:styleId="4">
    <w:name w:val="Основной текст (4)_"/>
    <w:basedOn w:val="DefaultParagraphFont"/>
    <w:link w:val="40"/>
    <w:rsid w:val="00D04EBA"/>
    <w:rPr>
      <w:rFonts w:ascii="Times New Roman" w:eastAsia="Times New Roman" w:hAnsi="Times New Roman" w:cs="Times New Roman"/>
      <w:sz w:val="19"/>
      <w:szCs w:val="19"/>
      <w:shd w:val="clear" w:color="auto" w:fill="FFFFFF"/>
    </w:rPr>
  </w:style>
  <w:style w:type="character" w:customStyle="1" w:styleId="10">
    <w:name w:val="Основной текст (10)_"/>
    <w:basedOn w:val="DefaultParagraphFont"/>
    <w:link w:val="100"/>
    <w:rsid w:val="00D04EBA"/>
    <w:rPr>
      <w:rFonts w:ascii="Times New Roman" w:eastAsia="Times New Roman" w:hAnsi="Times New Roman" w:cs="Times New Roman"/>
      <w:b/>
      <w:bCs/>
      <w:sz w:val="30"/>
      <w:szCs w:val="30"/>
      <w:shd w:val="clear" w:color="auto" w:fill="FFFFFF"/>
    </w:rPr>
  </w:style>
  <w:style w:type="paragraph" w:customStyle="1" w:styleId="20">
    <w:name w:val="Заголовок №2"/>
    <w:basedOn w:val="Normal"/>
    <w:link w:val="2"/>
    <w:rsid w:val="00D04EBA"/>
    <w:pPr>
      <w:shd w:val="clear" w:color="auto" w:fill="FFFFFF"/>
      <w:spacing w:after="660" w:line="0" w:lineRule="atLeast"/>
      <w:outlineLvl w:val="1"/>
    </w:pPr>
    <w:rPr>
      <w:rFonts w:ascii="Times New Roman" w:eastAsia="Times New Roman" w:hAnsi="Times New Roman" w:cs="Times New Roman"/>
      <w:b/>
      <w:bCs/>
      <w:color w:val="auto"/>
      <w:sz w:val="30"/>
      <w:szCs w:val="30"/>
    </w:rPr>
  </w:style>
  <w:style w:type="paragraph" w:customStyle="1" w:styleId="30">
    <w:name w:val="Основной текст (3)"/>
    <w:basedOn w:val="Normal"/>
    <w:link w:val="3"/>
    <w:rsid w:val="00D04EBA"/>
    <w:pPr>
      <w:shd w:val="clear" w:color="auto" w:fill="FFFFFF"/>
      <w:spacing w:before="660" w:line="0" w:lineRule="atLeast"/>
    </w:pPr>
    <w:rPr>
      <w:rFonts w:ascii="Times New Roman" w:eastAsia="Times New Roman" w:hAnsi="Times New Roman" w:cs="Times New Roman"/>
      <w:color w:val="auto"/>
      <w:sz w:val="22"/>
      <w:szCs w:val="22"/>
    </w:rPr>
  </w:style>
  <w:style w:type="paragraph" w:customStyle="1" w:styleId="22">
    <w:name w:val="Основной текст (2)"/>
    <w:basedOn w:val="Normal"/>
    <w:link w:val="21"/>
    <w:rsid w:val="00D04EBA"/>
    <w:pPr>
      <w:shd w:val="clear" w:color="auto" w:fill="FFFFFF"/>
      <w:spacing w:after="720" w:line="0" w:lineRule="atLeast"/>
      <w:jc w:val="right"/>
    </w:pPr>
    <w:rPr>
      <w:rFonts w:ascii="Times New Roman" w:eastAsia="Times New Roman" w:hAnsi="Times New Roman" w:cs="Times New Roman"/>
      <w:color w:val="auto"/>
      <w:sz w:val="28"/>
      <w:szCs w:val="28"/>
    </w:rPr>
  </w:style>
  <w:style w:type="paragraph" w:customStyle="1" w:styleId="40">
    <w:name w:val="Основной текст (4)"/>
    <w:basedOn w:val="Normal"/>
    <w:link w:val="4"/>
    <w:rsid w:val="00D04EBA"/>
    <w:pPr>
      <w:shd w:val="clear" w:color="auto" w:fill="FFFFFF"/>
      <w:spacing w:before="300" w:line="0" w:lineRule="atLeast"/>
      <w:jc w:val="both"/>
    </w:pPr>
    <w:rPr>
      <w:rFonts w:ascii="Times New Roman" w:eastAsia="Times New Roman" w:hAnsi="Times New Roman" w:cs="Times New Roman"/>
      <w:color w:val="auto"/>
      <w:sz w:val="19"/>
      <w:szCs w:val="19"/>
    </w:rPr>
  </w:style>
  <w:style w:type="paragraph" w:customStyle="1" w:styleId="100">
    <w:name w:val="Основной текст (10)"/>
    <w:basedOn w:val="Normal"/>
    <w:link w:val="10"/>
    <w:rsid w:val="00D04EBA"/>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styleId="Footer">
    <w:name w:val="footer"/>
    <w:basedOn w:val="Normal"/>
    <w:link w:val="FooterChar"/>
    <w:uiPriority w:val="99"/>
    <w:unhideWhenUsed/>
    <w:rsid w:val="00D04EBA"/>
    <w:pPr>
      <w:tabs>
        <w:tab w:val="center" w:pos="4677"/>
        <w:tab w:val="right" w:pos="9355"/>
      </w:tabs>
    </w:pPr>
  </w:style>
  <w:style w:type="character" w:customStyle="1" w:styleId="FooterChar">
    <w:name w:val="Footer Char"/>
    <w:basedOn w:val="DefaultParagraphFont"/>
    <w:link w:val="Footer"/>
    <w:uiPriority w:val="99"/>
    <w:rsid w:val="00D04EBA"/>
    <w:rPr>
      <w:color w:val="000000"/>
    </w:rPr>
  </w:style>
  <w:style w:type="paragraph" w:styleId="Header">
    <w:name w:val="header"/>
    <w:basedOn w:val="Normal"/>
    <w:link w:val="HeaderChar"/>
    <w:uiPriority w:val="99"/>
    <w:semiHidden/>
    <w:unhideWhenUsed/>
    <w:rsid w:val="003A1C32"/>
    <w:pPr>
      <w:tabs>
        <w:tab w:val="center" w:pos="4680"/>
        <w:tab w:val="right" w:pos="9360"/>
      </w:tabs>
    </w:pPr>
  </w:style>
  <w:style w:type="character" w:customStyle="1" w:styleId="HeaderChar">
    <w:name w:val="Header Char"/>
    <w:basedOn w:val="DefaultParagraphFont"/>
    <w:link w:val="Header"/>
    <w:uiPriority w:val="99"/>
    <w:semiHidden/>
    <w:rsid w:val="003A1C3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60B8F-7B36-428B-A3A4-039FB8EE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Armine Hovhannisyan</dc:creator>
  <cp:lastModifiedBy>Araqs Karapetyan</cp:lastModifiedBy>
  <cp:revision>2</cp:revision>
  <dcterms:created xsi:type="dcterms:W3CDTF">2019-06-06T08:23:00Z</dcterms:created>
  <dcterms:modified xsi:type="dcterms:W3CDTF">2019-06-06T08:23:00Z</dcterms:modified>
  <cp:keywords>https://mul2.gov.am/tasks/69903/oneclick/ETHX_Kargadrutyun_36_2018_ARM.docx?token=44caa96569cb79479bed9a9d7c8df9c6</cp:keywords>
</cp:coreProperties>
</file>