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20" w:type="dxa"/>
        <w:tblInd w:w="-432" w:type="dxa"/>
        <w:tblLook w:val="04A0"/>
      </w:tblPr>
      <w:tblGrid>
        <w:gridCol w:w="3034"/>
        <w:gridCol w:w="7881"/>
        <w:gridCol w:w="3305"/>
      </w:tblGrid>
      <w:tr w:rsidR="0079794C" w:rsidRPr="00952759" w:rsidTr="00317DB0">
        <w:tc>
          <w:tcPr>
            <w:tcW w:w="14220" w:type="dxa"/>
            <w:gridSpan w:val="3"/>
          </w:tcPr>
          <w:p w:rsidR="001049F3" w:rsidRPr="00952759" w:rsidRDefault="001049F3" w:rsidP="001049F3">
            <w:pPr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ԱՄՓՈՓԱԹԵՐԹ</w:t>
            </w:r>
          </w:p>
          <w:p w:rsidR="001049F3" w:rsidRPr="00952759" w:rsidRDefault="001049F3" w:rsidP="001049F3">
            <w:pPr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</w:p>
          <w:p w:rsidR="001049F3" w:rsidRPr="00952759" w:rsidRDefault="001049F3" w:rsidP="001049F3">
            <w:pPr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ՀՀ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ՖԻՆԱՆՍԱԿԱՆ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ԿՐԹՄԱՆ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ԱԶԳԱՅԻՆ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ՌԱԶՄԱՎԱՐՈՒԹՅՈՒՆ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ԵՎ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ՀՀ</w:t>
            </w:r>
            <w:r w:rsidR="00394436"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ՖԻՆԱՆՍԱԿԱՆ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ԿՐԹՄԱՆ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ԱԶԳԱՅԻՆ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ՌԱԶՄԱՎԱՐՈՒԹՅԱՆ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ԳՈՐԾՈՂՈՒԹՅՈՒՆՆԵՐԻ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ԾՐԱԳԻՐ</w:t>
            </w:r>
          </w:p>
          <w:p w:rsidR="001049F3" w:rsidRPr="00952759" w:rsidRDefault="001049F3" w:rsidP="001049F3">
            <w:pPr>
              <w:jc w:val="center"/>
              <w:rPr>
                <w:rFonts w:ascii="GHEA Grapalat" w:hAnsi="GHEA Grapalat" w:cs="Sylfaen"/>
                <w:sz w:val="28"/>
                <w:szCs w:val="28"/>
              </w:rPr>
            </w:pPr>
          </w:p>
        </w:tc>
      </w:tr>
      <w:tr w:rsidR="0079794C" w:rsidRPr="00952759" w:rsidTr="00595C65">
        <w:tc>
          <w:tcPr>
            <w:tcW w:w="2431" w:type="dxa"/>
            <w:shd w:val="clear" w:color="auto" w:fill="D9D9D9" w:themeFill="background1" w:themeFillShade="D9"/>
          </w:tcPr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  <w:t xml:space="preserve">ԿԱՌՈՒՅՑ </w:t>
            </w:r>
          </w:p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59" w:type="dxa"/>
            <w:shd w:val="clear" w:color="auto" w:fill="D9D9D9" w:themeFill="background1" w:themeFillShade="D9"/>
          </w:tcPr>
          <w:p w:rsidR="0079794C" w:rsidRPr="00952759" w:rsidRDefault="0079794C" w:rsidP="00317DB0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  <w:t>ԿԱՐԾԻՔ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317DB0" w:rsidRPr="00952759" w:rsidRDefault="003F02A9" w:rsidP="004E3D16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  <w:t>ՀՀ կենտրոնական բանկի դիրքորոշում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 xml:space="preserve"> </w:t>
            </w:r>
          </w:p>
        </w:tc>
      </w:tr>
      <w:tr w:rsidR="0079794C" w:rsidRPr="00952759" w:rsidTr="00595C65">
        <w:trPr>
          <w:trHeight w:val="1061"/>
        </w:trPr>
        <w:tc>
          <w:tcPr>
            <w:tcW w:w="2431" w:type="dxa"/>
          </w:tcPr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</w:p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</w:p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</w:p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</w:p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</w:p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</w:p>
          <w:p w:rsidR="0079794C" w:rsidRPr="00952759" w:rsidRDefault="0079794C" w:rsidP="00E67C09">
            <w:pPr>
              <w:jc w:val="center"/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b/>
                <w:color w:val="000000"/>
                <w:sz w:val="28"/>
                <w:szCs w:val="28"/>
              </w:rPr>
              <w:t>ՀՀ ֆինանսների նախարարություն</w:t>
            </w:r>
          </w:p>
          <w:p w:rsidR="0079794C" w:rsidRPr="00952759" w:rsidRDefault="0079794C" w:rsidP="00E67C0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8459" w:type="dxa"/>
          </w:tcPr>
          <w:p w:rsidR="001049F3" w:rsidRPr="00952759" w:rsidRDefault="001049F3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u w:val="single"/>
                <w:lang w:val="en-US"/>
              </w:rPr>
              <w:t>Գրություն</w:t>
            </w:r>
            <w:r w:rsidRPr="00952759">
              <w:rPr>
                <w:rFonts w:ascii="GHEA Grapalat" w:hAnsi="GHEA Grapalat" w:cs="Sylfaen"/>
                <w:sz w:val="28"/>
                <w:szCs w:val="28"/>
                <w:u w:val="single"/>
              </w:rPr>
              <w:t xml:space="preserve"> 1.</w:t>
            </w:r>
            <w:r w:rsidRPr="00952759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Դ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իտողություններ և առաջարկություններ չկան  </w:t>
            </w:r>
          </w:p>
          <w:p w:rsidR="001049F3" w:rsidRPr="00952759" w:rsidRDefault="001049F3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</w:p>
          <w:p w:rsidR="0079794C" w:rsidRPr="00952759" w:rsidRDefault="001049F3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u w:val="single"/>
                <w:lang w:val="en-US"/>
              </w:rPr>
              <w:t>Գրություն</w:t>
            </w:r>
            <w:r w:rsidRPr="00952759">
              <w:rPr>
                <w:rFonts w:ascii="GHEA Grapalat" w:hAnsi="GHEA Grapalat" w:cs="Sylfaen"/>
                <w:sz w:val="28"/>
                <w:szCs w:val="28"/>
                <w:u w:val="single"/>
              </w:rPr>
              <w:t xml:space="preserve"> 2</w:t>
            </w:r>
            <w:r w:rsidRPr="00952759">
              <w:rPr>
                <w:rFonts w:ascii="GHEA Grapalat" w:hAnsi="GHEA Grapalat" w:cs="Sylfaen"/>
                <w:sz w:val="28"/>
                <w:szCs w:val="28"/>
              </w:rPr>
              <w:t xml:space="preserve">. </w:t>
            </w:r>
            <w:r w:rsidR="0079794C"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Ռազմավարության մեջ շեշտադրում է կատարվում Համաշխարհային բանկի կողմից կատարվ</w:t>
            </w:r>
            <w:bookmarkStart w:id="0" w:name="_GoBack"/>
            <w:bookmarkEnd w:id="0"/>
            <w:r w:rsidR="0079794C"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ած հետազոտության արդյունքում բացահայտված և ՀՀ-ում առկա ֆինանսական կրթվածությանն առնչվող այլ խնդիրների վրա, որոնք արտացոլում են ՀՀ-ում ֆինանսական կթման անհրաժեշտությունը: </w:t>
            </w:r>
          </w:p>
          <w:p w:rsidR="00C630EC" w:rsidRPr="00952759" w:rsidRDefault="00C630EC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</w:p>
          <w:p w:rsidR="0079794C" w:rsidRPr="00952759" w:rsidRDefault="0079794C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Մյուս կողմից, ուսումնասիրելով ՀՀ 2012-2025թթ. հեռանկարային զարգացման ռազմավարական ծրագիրը, ակնհայտ է դառնում, որ ՀՀ կառավարության երկարաժամկետ գերակայություններում արդեն իսկ հստակ ընդգծված են ինովացիոն և գիտելիքահենք տնտեսության ձևավորման նպատակները, որոնց հասնելու համար հատկապես կարևորվում է դեպի արտահանումը կողմնորոշված և տեղեկատվական տեխնոլոգիաների զարգացումը խրախուսող քաղաքականությունների իրագործումը: </w:t>
            </w:r>
          </w:p>
          <w:p w:rsidR="00C630EC" w:rsidRPr="00952759" w:rsidRDefault="00C630EC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</w:p>
          <w:p w:rsidR="0079794C" w:rsidRPr="00952759" w:rsidRDefault="0079794C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Հաշվի առնելով ֆինանսական կրթման անհրաժեշտության հիմնավորման և ՀՀ կառավարության երկարաժամկետ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lastRenderedPageBreak/>
              <w:t xml:space="preserve">գերակայությունների միջև հստակ կապի բացակայությունը` հարց է առաջանում, թե կրթության ոլորտի գերակայությունները պետք է միտված լինեն ՀՀ կառավարության երկարաժամկետ գերակայությունների օժանդակմանը, թե առանձին հետազոտություններով բացահայտված և հիմնական գերակայություններին չառընչվող խնդիրների լուծմանը: </w:t>
            </w:r>
          </w:p>
          <w:p w:rsidR="0079794C" w:rsidRPr="00952759" w:rsidRDefault="0079794C" w:rsidP="0079794C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</w:p>
          <w:p w:rsidR="0079794C" w:rsidRPr="00952759" w:rsidRDefault="0079794C" w:rsidP="0079794C">
            <w:pPr>
              <w:jc w:val="both"/>
              <w:rPr>
                <w:rFonts w:ascii="GHEA Grapalat" w:hAnsi="GHEA Grapalat" w:cs="GHEAGrapalat-Bold"/>
                <w:bCs/>
                <w:sz w:val="28"/>
                <w:szCs w:val="28"/>
                <w:lang w:val="sk-SK" w:eastAsia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Ելնելով վերոշարադրյալից` կարևորում ենք ՀՀ էկոնոմիկայի նախարարության դիրքորոշումը և միաժամանակ կարծում ենք, որ վերևում ներկայացված դիրքորոշումը կարող է կրել կողմնորոշիչ բնույթ:</w:t>
            </w:r>
          </w:p>
        </w:tc>
        <w:tc>
          <w:tcPr>
            <w:tcW w:w="3330" w:type="dxa"/>
          </w:tcPr>
          <w:p w:rsidR="00791EE2" w:rsidRPr="00952759" w:rsidRDefault="00791EE2" w:rsidP="00D04873">
            <w:pPr>
              <w:jc w:val="both"/>
              <w:rPr>
                <w:rFonts w:ascii="GHEA Grapalat" w:hAnsi="GHEA Grapalat" w:cs="Sylfaen"/>
                <w:sz w:val="28"/>
                <w:szCs w:val="28"/>
                <w:lang w:val="sk-SK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lastRenderedPageBreak/>
              <w:t>Ընդունված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, </w:t>
            </w:r>
          </w:p>
          <w:p w:rsidR="00791EE2" w:rsidRPr="00952759" w:rsidRDefault="00791EE2" w:rsidP="00D04873">
            <w:pPr>
              <w:jc w:val="both"/>
              <w:rPr>
                <w:rFonts w:ascii="GHEA Grapalat" w:hAnsi="GHEA Grapalat" w:cs="Sylfaen"/>
                <w:sz w:val="28"/>
                <w:szCs w:val="28"/>
                <w:lang w:val="sk-SK"/>
              </w:rPr>
            </w:pPr>
          </w:p>
          <w:p w:rsidR="0079794C" w:rsidRPr="00952759" w:rsidRDefault="001953D0" w:rsidP="00D04873">
            <w:pPr>
              <w:jc w:val="both"/>
              <w:rPr>
                <w:rFonts w:ascii="GHEA Grapalat" w:hAnsi="GHEA Grapalat" w:cs="Sylfaen"/>
                <w:sz w:val="28"/>
                <w:szCs w:val="28"/>
                <w:lang w:val="sk-SK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ՀՀ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>-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ում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ֆինանսական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կրթման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ազգային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ռազմավարությունը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համապատասխանում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ՀՀ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2012-2025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թթ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.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հեռանկարային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զարգացման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ռազմավարական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ծրագրի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158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կետին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: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Ֆինանսական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կրթման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մակարդակի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և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ֆինանսական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միջնորդության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ավելացումը</w:t>
            </w:r>
            <w:r w:rsidR="00D04873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կխթանի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նոր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ՏՏ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տեխնոլոգիաներով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ֆինանսական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ծառայությունների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մատուցումը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(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օրինակ՝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82136D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հեռախոսային</w:t>
            </w:r>
            <w:r w:rsidR="0082136D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82136D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lastRenderedPageBreak/>
              <w:t>բանկային ծառայությունների մատուցումը</w:t>
            </w:r>
            <w:r w:rsidR="00955A9B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>)</w:t>
            </w:r>
            <w:r w:rsidR="0017427C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: </w:t>
            </w:r>
          </w:p>
          <w:p w:rsidR="0017427C" w:rsidRPr="00952759" w:rsidRDefault="0017427C" w:rsidP="00D04873">
            <w:pPr>
              <w:jc w:val="both"/>
              <w:rPr>
                <w:rFonts w:ascii="GHEA Grapalat" w:hAnsi="GHEA Grapalat" w:cs="Sylfaen"/>
                <w:sz w:val="28"/>
                <w:szCs w:val="28"/>
                <w:lang w:val="sk-SK"/>
              </w:rPr>
            </w:pPr>
          </w:p>
          <w:p w:rsidR="00955A9B" w:rsidRPr="00952759" w:rsidRDefault="001953D0" w:rsidP="00072929">
            <w:pPr>
              <w:jc w:val="both"/>
              <w:rPr>
                <w:rFonts w:ascii="GHEA Grapalat" w:hAnsi="GHEA Grapalat" w:cs="Sylfaen"/>
                <w:sz w:val="28"/>
                <w:szCs w:val="28"/>
                <w:lang w:val="sk-SK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ՀՀ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>-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ում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ֆինանսական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կրթման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ազգային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ռազմավարությունը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</w:t>
            </w:r>
            <w:r w:rsidR="0017427C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ամապատասխանում</w:t>
            </w:r>
            <w:r w:rsidR="0017427C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17427C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17427C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ՀՀ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2012-2025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թթ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.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հեռանկարային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զարգացման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ռազմավարական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ծրագրի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5.3 </w:t>
            </w:r>
            <w:r w:rsidR="00072929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գլխին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>:</w:t>
            </w:r>
            <w:r w:rsidR="007B2A7A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Ռազմավարության</w:t>
            </w:r>
            <w:r w:rsidR="0017427C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7B2A7A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առաքելությունը</w:t>
            </w:r>
            <w:r w:rsidR="007B2A7A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նպատակաուղղված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նձանց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ֆինանսական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բարեկեցության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բարձրացմանը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,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ինչը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անուղղակիորեն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նպաստում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աղքատության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 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կրճատմանը</w:t>
            </w:r>
            <w:r w:rsidR="00361B18" w:rsidRPr="00952759">
              <w:rPr>
                <w:rFonts w:ascii="GHEA Grapalat" w:hAnsi="GHEA Grapalat" w:cs="Sylfaen"/>
                <w:sz w:val="28"/>
                <w:szCs w:val="28"/>
                <w:lang w:val="sk-SK"/>
              </w:rPr>
              <w:t xml:space="preserve">: </w:t>
            </w:r>
          </w:p>
        </w:tc>
      </w:tr>
      <w:tr w:rsidR="0079794C" w:rsidRPr="00952759" w:rsidTr="00595C65">
        <w:tc>
          <w:tcPr>
            <w:tcW w:w="2431" w:type="dxa"/>
          </w:tcPr>
          <w:p w:rsidR="0079794C" w:rsidRPr="00952759" w:rsidRDefault="0079794C" w:rsidP="00317DB0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/>
                <w:b/>
                <w:sz w:val="28"/>
                <w:szCs w:val="28"/>
              </w:rPr>
              <w:lastRenderedPageBreak/>
              <w:t>ՀՀ էկոնոմիկայի նախարարություն</w:t>
            </w:r>
          </w:p>
        </w:tc>
        <w:tc>
          <w:tcPr>
            <w:tcW w:w="8459" w:type="dxa"/>
          </w:tcPr>
          <w:p w:rsidR="0079794C" w:rsidRPr="00952759" w:rsidRDefault="0079794C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Դ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իտողություններ և առաջարկություններ չկան  </w:t>
            </w:r>
          </w:p>
        </w:tc>
        <w:tc>
          <w:tcPr>
            <w:tcW w:w="3330" w:type="dxa"/>
          </w:tcPr>
          <w:p w:rsidR="0079794C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Ընդունված է</w:t>
            </w:r>
          </w:p>
        </w:tc>
      </w:tr>
      <w:tr w:rsidR="0079794C" w:rsidRPr="00952759" w:rsidTr="00595C65">
        <w:tc>
          <w:tcPr>
            <w:tcW w:w="2431" w:type="dxa"/>
          </w:tcPr>
          <w:p w:rsidR="0079794C" w:rsidRPr="00952759" w:rsidRDefault="0079794C" w:rsidP="00317DB0">
            <w:pPr>
              <w:jc w:val="center"/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</w:pP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>ՀՀ աշխատանքի և սոցիալական հարցերի նախարարություն</w:t>
            </w:r>
          </w:p>
        </w:tc>
        <w:tc>
          <w:tcPr>
            <w:tcW w:w="8459" w:type="dxa"/>
          </w:tcPr>
          <w:p w:rsidR="0079794C" w:rsidRPr="00952759" w:rsidRDefault="0079794C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Դ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իտողություններ և առաջարկություններ չկան  </w:t>
            </w:r>
          </w:p>
        </w:tc>
        <w:tc>
          <w:tcPr>
            <w:tcW w:w="3330" w:type="dxa"/>
          </w:tcPr>
          <w:p w:rsidR="0079794C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Ընդունված է</w:t>
            </w:r>
          </w:p>
        </w:tc>
      </w:tr>
      <w:tr w:rsidR="0079794C" w:rsidRPr="00952759" w:rsidTr="00595C65">
        <w:tc>
          <w:tcPr>
            <w:tcW w:w="2431" w:type="dxa"/>
          </w:tcPr>
          <w:p w:rsidR="0079794C" w:rsidRPr="00952759" w:rsidRDefault="0079794C" w:rsidP="00317DB0">
            <w:pPr>
              <w:jc w:val="center"/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</w:pP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>ՀՀ կրթության և գիտության նախարարություն</w:t>
            </w:r>
          </w:p>
        </w:tc>
        <w:tc>
          <w:tcPr>
            <w:tcW w:w="8459" w:type="dxa"/>
          </w:tcPr>
          <w:p w:rsidR="0079794C" w:rsidRPr="00952759" w:rsidRDefault="0079794C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Դ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իտողություններ և առաջարկություններ չկան  </w:t>
            </w:r>
          </w:p>
        </w:tc>
        <w:tc>
          <w:tcPr>
            <w:tcW w:w="3330" w:type="dxa"/>
          </w:tcPr>
          <w:p w:rsidR="0079794C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Ընդունված է</w:t>
            </w:r>
          </w:p>
        </w:tc>
      </w:tr>
      <w:tr w:rsidR="003F02A9" w:rsidRPr="00952759" w:rsidTr="00595C65">
        <w:tc>
          <w:tcPr>
            <w:tcW w:w="2431" w:type="dxa"/>
            <w:vMerge w:val="restart"/>
          </w:tcPr>
          <w:p w:rsidR="003F02A9" w:rsidRPr="00952759" w:rsidRDefault="003F02A9" w:rsidP="00C3748E">
            <w:pPr>
              <w:jc w:val="center"/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</w:pP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>ՀՀ արդարադատության նախարարության</w:t>
            </w:r>
          </w:p>
          <w:p w:rsidR="003F02A9" w:rsidRPr="00952759" w:rsidRDefault="003F02A9" w:rsidP="00C3748E">
            <w:pPr>
              <w:jc w:val="center"/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</w:pPr>
          </w:p>
          <w:p w:rsidR="003F02A9" w:rsidRPr="00952759" w:rsidRDefault="003F02A9" w:rsidP="00C3748E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</w:tc>
        <w:tc>
          <w:tcPr>
            <w:tcW w:w="8459" w:type="dxa"/>
          </w:tcPr>
          <w:p w:rsidR="003F02A9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af-ZA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Պ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արզ չէ, թե ինչ իրավական ակտով պետք է այն հաստատվի: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Գտնում են, որ հիշյալ նախագիծը պետք է հաստատվի ՀՀ կառավարության անհատական որոշմամբ:</w:t>
            </w:r>
          </w:p>
        </w:tc>
        <w:tc>
          <w:tcPr>
            <w:tcW w:w="3330" w:type="dxa"/>
          </w:tcPr>
          <w:p w:rsidR="003F02A9" w:rsidRPr="00952759" w:rsidRDefault="003F02A9" w:rsidP="00DF74E7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</w:t>
            </w:r>
            <w:r w:rsidR="00DF74E7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ված է</w:t>
            </w:r>
          </w:p>
        </w:tc>
      </w:tr>
      <w:tr w:rsidR="003F02A9" w:rsidRPr="00952759" w:rsidTr="00595C65">
        <w:tc>
          <w:tcPr>
            <w:tcW w:w="2431" w:type="dxa"/>
            <w:vMerge/>
          </w:tcPr>
          <w:p w:rsidR="003F02A9" w:rsidRPr="00952759" w:rsidRDefault="003F02A9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459" w:type="dxa"/>
          </w:tcPr>
          <w:p w:rsidR="003F02A9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Նախագծի ողջ տեքստից անհրաժեշտ է հանել ծանոթագրություններն ու բացատրությունները՝ համաձայն «Իրավական ակտերի մասին» ՀՀ օրենքի 45-րդ հոդվածի 12-րդ մասի պահանջների, որոնց համաձայն նորմատիվ իրավական ակտում բացատրություններ կամ ծանոթագրություններ չեն տրվում: </w:t>
            </w:r>
          </w:p>
        </w:tc>
        <w:tc>
          <w:tcPr>
            <w:tcW w:w="3330" w:type="dxa"/>
          </w:tcPr>
          <w:p w:rsidR="003F02A9" w:rsidRPr="00952759" w:rsidRDefault="003F02A9" w:rsidP="00A12565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</w:t>
            </w:r>
            <w:r w:rsidR="00DF74E7"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ված է</w:t>
            </w:r>
          </w:p>
          <w:p w:rsidR="004E3FC7" w:rsidRPr="00952759" w:rsidRDefault="004E3FC7" w:rsidP="001953D0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</w:p>
        </w:tc>
      </w:tr>
      <w:tr w:rsidR="003F02A9" w:rsidRPr="00952759" w:rsidTr="00595C65">
        <w:tc>
          <w:tcPr>
            <w:tcW w:w="2431" w:type="dxa"/>
            <w:vMerge/>
          </w:tcPr>
          <w:p w:rsidR="003F02A9" w:rsidRPr="00952759" w:rsidRDefault="003F02A9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459" w:type="dxa"/>
          </w:tcPr>
          <w:p w:rsidR="003F02A9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Նախագծի 23-րդ, 25-րդ, 26-րդ, 27-րդ, 30-րդ, 44-րդ, 51-րդ, 53-րդ, 59-րդ, 61-րդ, 63-րդ, 98-րդ, 111-րդ, 112-րդ կետերի ենթակետերի համարակալումն անհրաժեշտ է համապատասխանեցնել «Իրավական ակտերի մասին» Հայաստանի Հանրապետության օրենքի 41-րդ հոդվածի 3-րդ մասի պահանջներին:</w:t>
            </w:r>
          </w:p>
        </w:tc>
        <w:tc>
          <w:tcPr>
            <w:tcW w:w="3330" w:type="dxa"/>
          </w:tcPr>
          <w:p w:rsidR="003F02A9" w:rsidRPr="00952759" w:rsidRDefault="003F02A9" w:rsidP="00A12565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Ընդունված է</w:t>
            </w:r>
          </w:p>
        </w:tc>
      </w:tr>
      <w:tr w:rsidR="003F02A9" w:rsidRPr="00952759" w:rsidTr="00595C65">
        <w:tc>
          <w:tcPr>
            <w:tcW w:w="2431" w:type="dxa"/>
            <w:vMerge/>
          </w:tcPr>
          <w:p w:rsidR="003F02A9" w:rsidRPr="00952759" w:rsidRDefault="003F02A9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459" w:type="dxa"/>
          </w:tcPr>
          <w:p w:rsidR="003F02A9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Նախագծում առկա են հստակեցման և խմբագրման կարիք ունեցող դրույթներ, մասնավորապես՝ «ֆորմալ ֆինանսական ծառայություն», «կյանքի ընկալունակ պահ», «անձնական ֆինանսների կառավարման առարկայի ֆոկուսը» և այլն: Այդ առումով նախագիծն անհրաժեշտ է խմբագրել՝ նկատի ունենալով «Իրավական ակտերի մասին» ՀՀ օրենքի 36-րդ հոդվածի պահանջները:</w:t>
            </w:r>
          </w:p>
        </w:tc>
        <w:tc>
          <w:tcPr>
            <w:tcW w:w="3330" w:type="dxa"/>
          </w:tcPr>
          <w:p w:rsidR="003F02A9" w:rsidRPr="00952759" w:rsidRDefault="00A12565" w:rsidP="00A12565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Ընդունված է</w:t>
            </w:r>
          </w:p>
          <w:p w:rsidR="004E3FC7" w:rsidRPr="00952759" w:rsidRDefault="004E3FC7" w:rsidP="00A12565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</w:p>
          <w:p w:rsidR="004E3FC7" w:rsidRPr="00952759" w:rsidRDefault="004E3FC7" w:rsidP="001953D0">
            <w:pPr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</w:p>
        </w:tc>
      </w:tr>
      <w:tr w:rsidR="003F02A9" w:rsidRPr="00952759" w:rsidTr="00595C65">
        <w:trPr>
          <w:trHeight w:val="692"/>
        </w:trPr>
        <w:tc>
          <w:tcPr>
            <w:tcW w:w="2431" w:type="dxa"/>
            <w:vMerge/>
          </w:tcPr>
          <w:p w:rsidR="003F02A9" w:rsidRPr="00952759" w:rsidRDefault="003F02A9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459" w:type="dxa"/>
          </w:tcPr>
          <w:p w:rsidR="003F02A9" w:rsidRPr="00952759" w:rsidRDefault="003F02A9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Նախագիծն անհրաժեշտ է համաձայնեցնել ՀՀ ֆինանսների և ՀՀ աշխատանքի և սոցիալական հարցերի նախարարությունների հետ</w:t>
            </w:r>
          </w:p>
        </w:tc>
        <w:tc>
          <w:tcPr>
            <w:tcW w:w="3330" w:type="dxa"/>
          </w:tcPr>
          <w:p w:rsidR="003F02A9" w:rsidRPr="00952759" w:rsidRDefault="0037471F" w:rsidP="00095682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Ընդունված է</w:t>
            </w:r>
            <w:r w:rsidR="00095682"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և</w:t>
            </w:r>
            <w:r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ն</w:t>
            </w:r>
            <w:r w:rsidR="003F02A9"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շված </w:t>
            </w:r>
            <w:r w:rsidR="001953D0"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նախարարությունների </w:t>
            </w:r>
            <w:r w:rsidR="00095682" w:rsidRPr="00952759">
              <w:rPr>
                <w:rFonts w:ascii="GHEA Grapalat" w:hAnsi="GHEA Grapalat" w:cs="Sylfaen"/>
                <w:sz w:val="28"/>
                <w:szCs w:val="28"/>
                <w:lang w:val="hy-AM"/>
              </w:rPr>
              <w:t>հետ համաձայնեցված է</w:t>
            </w:r>
          </w:p>
        </w:tc>
      </w:tr>
      <w:tr w:rsidR="003F02A9" w:rsidRPr="00952759" w:rsidTr="00595C65">
        <w:tc>
          <w:tcPr>
            <w:tcW w:w="2431" w:type="dxa"/>
          </w:tcPr>
          <w:p w:rsidR="003F02A9" w:rsidRPr="00952759" w:rsidRDefault="003F02A9" w:rsidP="00FE183F">
            <w:pPr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952759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>ՀՀ կառավարության աշխատակազմ</w:t>
            </w:r>
          </w:p>
        </w:tc>
        <w:tc>
          <w:tcPr>
            <w:tcW w:w="8459" w:type="dxa"/>
          </w:tcPr>
          <w:p w:rsidR="003F02A9" w:rsidRPr="00952759" w:rsidRDefault="00D04873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/>
                <w:sz w:val="28"/>
                <w:szCs w:val="28"/>
                <w:lang w:val="en-US"/>
              </w:rPr>
              <w:t>L</w:t>
            </w:r>
            <w:r w:rsidRPr="00952759">
              <w:rPr>
                <w:rFonts w:ascii="GHEA Grapalat" w:hAnsi="GHEA Grapalat"/>
                <w:sz w:val="28"/>
                <w:szCs w:val="28"/>
              </w:rPr>
              <w:t>րամշակել նախագիծը՝ ըստ անհրաժեշտության, և վերջնական տարբերակը ներկայացնել ՀՀ կառավարության աշխատակազմ</w:t>
            </w:r>
          </w:p>
        </w:tc>
        <w:tc>
          <w:tcPr>
            <w:tcW w:w="3330" w:type="dxa"/>
          </w:tcPr>
          <w:p w:rsidR="003F02A9" w:rsidRPr="00952759" w:rsidRDefault="00D04873" w:rsidP="00E67C09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952759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Ընդունված է</w:t>
            </w:r>
          </w:p>
        </w:tc>
      </w:tr>
    </w:tbl>
    <w:p w:rsidR="00C46639" w:rsidRPr="00952759" w:rsidRDefault="00C46639">
      <w:pPr>
        <w:rPr>
          <w:rFonts w:ascii="GHEA Grapalat" w:hAnsi="GHEA Grapalat"/>
          <w:sz w:val="28"/>
          <w:szCs w:val="28"/>
        </w:rPr>
      </w:pPr>
    </w:p>
    <w:sectPr w:rsidR="00C46639" w:rsidRPr="00952759" w:rsidSect="00595C65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E67C09"/>
    <w:rsid w:val="00072929"/>
    <w:rsid w:val="00095682"/>
    <w:rsid w:val="000C2410"/>
    <w:rsid w:val="001049F3"/>
    <w:rsid w:val="0017132F"/>
    <w:rsid w:val="0017427C"/>
    <w:rsid w:val="001953D0"/>
    <w:rsid w:val="00317DB0"/>
    <w:rsid w:val="00361B18"/>
    <w:rsid w:val="0037471F"/>
    <w:rsid w:val="00394436"/>
    <w:rsid w:val="003B219D"/>
    <w:rsid w:val="003F02A9"/>
    <w:rsid w:val="004E3D16"/>
    <w:rsid w:val="004E3FC7"/>
    <w:rsid w:val="004E5F4D"/>
    <w:rsid w:val="00541DAA"/>
    <w:rsid w:val="0057333B"/>
    <w:rsid w:val="00595C65"/>
    <w:rsid w:val="005A4E7A"/>
    <w:rsid w:val="00620A0F"/>
    <w:rsid w:val="006A30EF"/>
    <w:rsid w:val="007034AD"/>
    <w:rsid w:val="00732FF3"/>
    <w:rsid w:val="00791EE2"/>
    <w:rsid w:val="0079794C"/>
    <w:rsid w:val="007B2A7A"/>
    <w:rsid w:val="00816D29"/>
    <w:rsid w:val="0082136D"/>
    <w:rsid w:val="008B57A8"/>
    <w:rsid w:val="00951B49"/>
    <w:rsid w:val="00952759"/>
    <w:rsid w:val="00955A9B"/>
    <w:rsid w:val="00A12565"/>
    <w:rsid w:val="00A529F1"/>
    <w:rsid w:val="00AC1DB3"/>
    <w:rsid w:val="00B15354"/>
    <w:rsid w:val="00B9348B"/>
    <w:rsid w:val="00C06F78"/>
    <w:rsid w:val="00C3748E"/>
    <w:rsid w:val="00C46639"/>
    <w:rsid w:val="00C60381"/>
    <w:rsid w:val="00C630EC"/>
    <w:rsid w:val="00CF3C31"/>
    <w:rsid w:val="00D04873"/>
    <w:rsid w:val="00D91803"/>
    <w:rsid w:val="00DE058E"/>
    <w:rsid w:val="00DF74E7"/>
    <w:rsid w:val="00E45DCF"/>
    <w:rsid w:val="00E67C09"/>
    <w:rsid w:val="00FE183F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119D05-F043-496B-BFBE-C7D7297B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</dc:creator>
  <cp:lastModifiedBy>tateviks</cp:lastModifiedBy>
  <cp:revision>32</cp:revision>
  <cp:lastPrinted>2013-11-18T10:31:00Z</cp:lastPrinted>
  <dcterms:created xsi:type="dcterms:W3CDTF">2013-11-13T08:39:00Z</dcterms:created>
  <dcterms:modified xsi:type="dcterms:W3CDTF">2014-06-23T13:20:00Z</dcterms:modified>
</cp:coreProperties>
</file>