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C48" w:rsidRPr="00286852" w:rsidRDefault="008B651A" w:rsidP="00584C06">
      <w:pPr>
        <w:spacing w:line="360" w:lineRule="auto"/>
        <w:jc w:val="center"/>
        <w:rPr>
          <w:rFonts w:ascii="GHEA Grapalat" w:hAnsi="GHEA Grapalat"/>
          <w:b/>
          <w:sz w:val="24"/>
          <w:szCs w:val="24"/>
          <w:lang w:val="hy-AM"/>
        </w:rPr>
      </w:pPr>
      <w:bookmarkStart w:id="0" w:name="_GoBack"/>
      <w:bookmarkEnd w:id="0"/>
      <w:r w:rsidRPr="00286852">
        <w:rPr>
          <w:rFonts w:ascii="GHEA Grapalat" w:hAnsi="GHEA Grapalat"/>
          <w:b/>
          <w:sz w:val="24"/>
          <w:szCs w:val="24"/>
          <w:lang w:val="hy-AM"/>
        </w:rPr>
        <w:t xml:space="preserve">Մարդու </w:t>
      </w:r>
      <w:r w:rsidR="00A46F67" w:rsidRPr="00286852">
        <w:rPr>
          <w:rFonts w:ascii="GHEA Grapalat" w:hAnsi="GHEA Grapalat"/>
          <w:b/>
          <w:sz w:val="24"/>
          <w:szCs w:val="24"/>
          <w:lang w:val="hy-AM"/>
        </w:rPr>
        <w:t>պապիլոմավիրուսային վարակի դեմ պատվաստումներ</w:t>
      </w:r>
      <w:r w:rsidRPr="00286852">
        <w:rPr>
          <w:rFonts w:ascii="GHEA Grapalat" w:hAnsi="GHEA Grapalat"/>
          <w:b/>
          <w:sz w:val="24"/>
          <w:szCs w:val="24"/>
          <w:lang w:val="hy-AM"/>
        </w:rPr>
        <w:t xml:space="preserve"> </w:t>
      </w:r>
    </w:p>
    <w:p w:rsidR="008B651A" w:rsidRPr="00286852" w:rsidRDefault="000711A4" w:rsidP="00584C06">
      <w:pPr>
        <w:spacing w:line="360" w:lineRule="auto"/>
        <w:jc w:val="center"/>
        <w:rPr>
          <w:rFonts w:ascii="GHEA Grapalat" w:hAnsi="GHEA Grapalat"/>
          <w:b/>
          <w:sz w:val="24"/>
          <w:szCs w:val="24"/>
          <w:lang w:val="hy-AM"/>
        </w:rPr>
      </w:pPr>
      <w:r w:rsidRPr="00286852">
        <w:rPr>
          <w:rFonts w:ascii="GHEA Grapalat" w:hAnsi="GHEA Grapalat"/>
          <w:b/>
          <w:sz w:val="24"/>
          <w:szCs w:val="24"/>
          <w:lang w:val="hy-AM"/>
        </w:rPr>
        <w:t>/</w:t>
      </w:r>
      <w:r w:rsidR="008B651A" w:rsidRPr="00286852">
        <w:rPr>
          <w:rFonts w:ascii="GHEA Grapalat" w:hAnsi="GHEA Grapalat"/>
          <w:b/>
          <w:sz w:val="24"/>
          <w:szCs w:val="24"/>
          <w:lang w:val="hy-AM"/>
        </w:rPr>
        <w:t xml:space="preserve">ԱՀԿ </w:t>
      </w:r>
      <w:r w:rsidR="00A46F67" w:rsidRPr="00286852">
        <w:rPr>
          <w:rFonts w:ascii="GHEA Grapalat" w:hAnsi="GHEA Grapalat"/>
          <w:b/>
          <w:sz w:val="24"/>
          <w:szCs w:val="24"/>
          <w:lang w:val="hy-AM"/>
        </w:rPr>
        <w:t>պաշտոնական դիրքորոշում</w:t>
      </w:r>
      <w:r w:rsidR="008B651A" w:rsidRPr="00286852">
        <w:rPr>
          <w:rFonts w:ascii="GHEA Grapalat" w:hAnsi="GHEA Grapalat"/>
          <w:b/>
          <w:sz w:val="24"/>
          <w:szCs w:val="24"/>
          <w:lang w:val="hy-AM"/>
        </w:rPr>
        <w:t>, մայիս 2017</w:t>
      </w:r>
      <w:r w:rsidRPr="00286852">
        <w:rPr>
          <w:rFonts w:ascii="GHEA Grapalat" w:hAnsi="GHEA Grapalat"/>
          <w:b/>
          <w:sz w:val="24"/>
          <w:szCs w:val="24"/>
          <w:lang w:val="hy-AM"/>
        </w:rPr>
        <w:t>/</w:t>
      </w:r>
    </w:p>
    <w:p w:rsidR="008A7C48" w:rsidRPr="00286852" w:rsidRDefault="008A7C48" w:rsidP="00584C06">
      <w:pPr>
        <w:spacing w:line="360" w:lineRule="auto"/>
        <w:jc w:val="both"/>
        <w:rPr>
          <w:rFonts w:ascii="GHEA Grapalat" w:hAnsi="GHEA Grapalat"/>
          <w:b/>
          <w:sz w:val="24"/>
          <w:szCs w:val="24"/>
          <w:lang w:val="hy-AM"/>
        </w:rPr>
      </w:pPr>
    </w:p>
    <w:p w:rsidR="00A46F67" w:rsidRPr="00286852" w:rsidRDefault="000B0766" w:rsidP="000711A4">
      <w:pPr>
        <w:spacing w:after="0" w:line="360" w:lineRule="auto"/>
        <w:ind w:firstLine="720"/>
        <w:jc w:val="both"/>
        <w:rPr>
          <w:rFonts w:ascii="GHEA Grapalat" w:hAnsi="GHEA Grapalat"/>
          <w:b/>
          <w:sz w:val="24"/>
          <w:szCs w:val="24"/>
          <w:lang w:val="hy-AM"/>
        </w:rPr>
      </w:pPr>
      <w:r w:rsidRPr="00286852">
        <w:rPr>
          <w:rFonts w:ascii="GHEA Grapalat" w:hAnsi="GHEA Grapalat"/>
          <w:b/>
          <w:sz w:val="24"/>
          <w:szCs w:val="24"/>
          <w:lang w:val="hy-AM"/>
        </w:rPr>
        <w:t>Ներածություն</w:t>
      </w:r>
    </w:p>
    <w:p w:rsidR="00404DAB" w:rsidRPr="00286852" w:rsidRDefault="00B03C92" w:rsidP="000711A4">
      <w:pPr>
        <w:spacing w:after="0" w:line="360" w:lineRule="auto"/>
        <w:ind w:firstLine="720"/>
        <w:jc w:val="both"/>
        <w:rPr>
          <w:rFonts w:ascii="GHEA Grapalat" w:hAnsi="GHEA Grapalat"/>
          <w:sz w:val="24"/>
          <w:szCs w:val="24"/>
          <w:lang w:val="hy-AM"/>
        </w:rPr>
      </w:pPr>
      <w:r w:rsidRPr="00286852">
        <w:rPr>
          <w:rFonts w:ascii="GHEA Grapalat" w:hAnsi="GHEA Grapalat"/>
          <w:sz w:val="24"/>
          <w:szCs w:val="24"/>
          <w:lang w:val="hy-AM"/>
        </w:rPr>
        <w:t xml:space="preserve">Համաձայն իր </w:t>
      </w:r>
      <w:r w:rsidR="005675FB" w:rsidRPr="00286852">
        <w:rPr>
          <w:rFonts w:ascii="GHEA Grapalat" w:hAnsi="GHEA Grapalat"/>
          <w:sz w:val="24"/>
          <w:szCs w:val="24"/>
          <w:lang w:val="hy-AM"/>
        </w:rPr>
        <w:t>լ</w:t>
      </w:r>
      <w:r w:rsidRPr="00286852">
        <w:rPr>
          <w:rFonts w:ascii="GHEA Grapalat" w:hAnsi="GHEA Grapalat"/>
          <w:sz w:val="24"/>
          <w:szCs w:val="24"/>
          <w:lang w:val="hy-AM"/>
        </w:rPr>
        <w:t>ի</w:t>
      </w:r>
      <w:r w:rsidR="005675FB" w:rsidRPr="00286852">
        <w:rPr>
          <w:rFonts w:ascii="GHEA Grapalat" w:hAnsi="GHEA Grapalat"/>
          <w:sz w:val="24"/>
          <w:szCs w:val="24"/>
          <w:lang w:val="hy-AM"/>
        </w:rPr>
        <w:t>ազորությունների</w:t>
      </w:r>
      <w:r w:rsidR="000711A4" w:rsidRPr="00286852">
        <w:rPr>
          <w:rFonts w:ascii="GHEA Grapalat" w:hAnsi="GHEA Grapalat"/>
          <w:sz w:val="24"/>
          <w:szCs w:val="24"/>
          <w:lang w:val="hy-AM"/>
        </w:rPr>
        <w:t xml:space="preserve"> ԱՀԿ-ն</w:t>
      </w:r>
      <w:r w:rsidRPr="00286852">
        <w:rPr>
          <w:rFonts w:ascii="GHEA Grapalat" w:hAnsi="GHEA Grapalat"/>
          <w:sz w:val="24"/>
          <w:szCs w:val="24"/>
          <w:lang w:val="hy-AM"/>
        </w:rPr>
        <w:t>, անդամ պետություններին առողջապահական քաղաքականության</w:t>
      </w:r>
      <w:r w:rsidR="00533646" w:rsidRPr="00286852">
        <w:rPr>
          <w:rFonts w:ascii="GHEA Grapalat" w:hAnsi="GHEA Grapalat"/>
          <w:sz w:val="24"/>
          <w:szCs w:val="24"/>
          <w:lang w:val="hy-AM"/>
        </w:rPr>
        <w:t xml:space="preserve"> մշակմանն աջակցելու</w:t>
      </w:r>
      <w:r w:rsidRPr="00286852">
        <w:rPr>
          <w:rFonts w:ascii="GHEA Grapalat" w:hAnsi="GHEA Grapalat"/>
          <w:sz w:val="24"/>
          <w:szCs w:val="24"/>
          <w:lang w:val="hy-AM"/>
        </w:rPr>
        <w:t xml:space="preserve"> հարցերում, ներկայացնում է պատվաստ</w:t>
      </w:r>
      <w:r w:rsidR="00533646" w:rsidRPr="00286852">
        <w:rPr>
          <w:rFonts w:ascii="GHEA Grapalat" w:hAnsi="GHEA Grapalat"/>
          <w:sz w:val="24"/>
          <w:szCs w:val="24"/>
          <w:lang w:val="hy-AM"/>
        </w:rPr>
        <w:t>անյութերի</w:t>
      </w:r>
      <w:r w:rsidRPr="00286852">
        <w:rPr>
          <w:rFonts w:ascii="GHEA Grapalat" w:hAnsi="GHEA Grapalat"/>
          <w:sz w:val="24"/>
          <w:szCs w:val="24"/>
          <w:lang w:val="hy-AM"/>
        </w:rPr>
        <w:t xml:space="preserve"> և </w:t>
      </w:r>
      <w:r w:rsidR="00533646" w:rsidRPr="00286852">
        <w:rPr>
          <w:rFonts w:ascii="GHEA Grapalat" w:hAnsi="GHEA Grapalat"/>
          <w:sz w:val="24"/>
          <w:szCs w:val="24"/>
          <w:lang w:val="hy-AM"/>
        </w:rPr>
        <w:t xml:space="preserve">համակցված </w:t>
      </w:r>
      <w:r w:rsidRPr="00286852">
        <w:rPr>
          <w:rFonts w:ascii="GHEA Grapalat" w:hAnsi="GHEA Grapalat"/>
          <w:sz w:val="24"/>
          <w:szCs w:val="24"/>
          <w:lang w:val="hy-AM"/>
        </w:rPr>
        <w:t xml:space="preserve">պատվաստանյութերի վերաբերյալ մի շարք պարբերաբար թարմացվող պաշտոնական դիրքորոշումներ՝ ուղղված </w:t>
      </w:r>
      <w:r w:rsidRPr="00286852">
        <w:rPr>
          <w:lang w:val="hy-AM"/>
        </w:rPr>
        <w:t xml:space="preserve"> </w:t>
      </w:r>
      <w:r w:rsidRPr="00286852">
        <w:rPr>
          <w:rFonts w:ascii="GHEA Grapalat" w:hAnsi="GHEA Grapalat"/>
          <w:sz w:val="24"/>
          <w:szCs w:val="24"/>
          <w:lang w:val="hy-AM"/>
        </w:rPr>
        <w:t>միջազգային առողջապահական նշանակություն ունեցող հիվանդությունների դեմ:</w:t>
      </w:r>
      <w:r w:rsidR="00404DAB" w:rsidRPr="00286852">
        <w:rPr>
          <w:rFonts w:ascii="GHEA Grapalat" w:hAnsi="GHEA Grapalat"/>
          <w:sz w:val="24"/>
          <w:szCs w:val="24"/>
          <w:lang w:val="hy-AM"/>
        </w:rPr>
        <w:t xml:space="preserve"> Սույն փաստաթղթերը հիմնականում վերաբերում են պատվաստանյութերի կիրառմանը </w:t>
      </w:r>
      <w:r w:rsidR="00533646" w:rsidRPr="00286852">
        <w:rPr>
          <w:rFonts w:ascii="GHEA Grapalat" w:hAnsi="GHEA Grapalat"/>
          <w:sz w:val="24"/>
          <w:szCs w:val="24"/>
          <w:lang w:val="hy-AM"/>
        </w:rPr>
        <w:t>պատվաստումային</w:t>
      </w:r>
      <w:r w:rsidR="00404DAB" w:rsidRPr="00286852">
        <w:rPr>
          <w:rFonts w:ascii="GHEA Grapalat" w:hAnsi="GHEA Grapalat"/>
          <w:sz w:val="24"/>
          <w:szCs w:val="24"/>
          <w:lang w:val="hy-AM"/>
        </w:rPr>
        <w:t xml:space="preserve">  լայանածավալ ծրագրերում: Դրանք ամփոփում են համապատասխան հիվանդությունների և պատվաստանյութերի վերաբերյալ հիմնական տեղեկատվությունը, ինչպես նաև դրանց օգտագործման վերաբերյալ ԱՀԿ-ի ներկայիս </w:t>
      </w:r>
      <w:r w:rsidR="00CB75BB" w:rsidRPr="00286852">
        <w:rPr>
          <w:rFonts w:ascii="GHEA Grapalat" w:hAnsi="GHEA Grapalat"/>
          <w:sz w:val="24"/>
          <w:szCs w:val="24"/>
          <w:lang w:val="hy-AM"/>
        </w:rPr>
        <w:t>դիրքորոշումը</w:t>
      </w:r>
      <w:r w:rsidR="00533646" w:rsidRPr="00286852">
        <w:rPr>
          <w:rFonts w:ascii="GHEA Grapalat" w:hAnsi="GHEA Grapalat"/>
          <w:sz w:val="24"/>
          <w:szCs w:val="24"/>
          <w:lang w:val="hy-AM"/>
        </w:rPr>
        <w:t>՝</w:t>
      </w:r>
      <w:r w:rsidR="00CB75BB" w:rsidRPr="00286852">
        <w:rPr>
          <w:rFonts w:ascii="GHEA Grapalat" w:hAnsi="GHEA Grapalat"/>
          <w:sz w:val="24"/>
          <w:szCs w:val="24"/>
          <w:lang w:val="hy-AM"/>
        </w:rPr>
        <w:t xml:space="preserve"> գլոբալ մակարդակում</w:t>
      </w:r>
      <w:r w:rsidR="00404DAB" w:rsidRPr="00286852">
        <w:rPr>
          <w:rFonts w:ascii="GHEA Grapalat" w:hAnsi="GHEA Grapalat"/>
          <w:sz w:val="24"/>
          <w:szCs w:val="24"/>
          <w:lang w:val="hy-AM"/>
        </w:rPr>
        <w:t>:</w:t>
      </w:r>
    </w:p>
    <w:p w:rsidR="006E04C6" w:rsidRPr="00286852" w:rsidRDefault="006E04C6" w:rsidP="000711A4">
      <w:pPr>
        <w:spacing w:line="360" w:lineRule="auto"/>
        <w:ind w:firstLine="720"/>
        <w:jc w:val="both"/>
        <w:rPr>
          <w:rFonts w:ascii="GHEA Grapalat" w:hAnsi="GHEA Grapalat"/>
          <w:sz w:val="24"/>
          <w:szCs w:val="24"/>
          <w:lang w:val="hy-AM"/>
        </w:rPr>
      </w:pPr>
      <w:r w:rsidRPr="00286852">
        <w:rPr>
          <w:rFonts w:ascii="GHEA Grapalat" w:hAnsi="GHEA Grapalat"/>
          <w:sz w:val="24"/>
          <w:szCs w:val="24"/>
          <w:lang w:val="hy-AM"/>
        </w:rPr>
        <w:t xml:space="preserve">Սույն փաստաթղթերը վերանայվում են արտաքին փորձագետների և ԱՀԿ աշխատակիցների  կողմից, ինչպես նաև վերանայվում և հաստատվում </w:t>
      </w:r>
      <w:r w:rsidR="00533646" w:rsidRPr="00286852">
        <w:rPr>
          <w:rFonts w:ascii="GHEA Grapalat" w:hAnsi="GHEA Grapalat"/>
          <w:sz w:val="24"/>
          <w:szCs w:val="24"/>
          <w:lang w:val="hy-AM"/>
        </w:rPr>
        <w:lastRenderedPageBreak/>
        <w:t>են</w:t>
      </w:r>
      <w:r w:rsidRPr="00286852">
        <w:rPr>
          <w:rFonts w:ascii="GHEA Grapalat" w:hAnsi="GHEA Grapalat"/>
          <w:sz w:val="24"/>
          <w:szCs w:val="24"/>
          <w:lang w:val="hy-AM"/>
        </w:rPr>
        <w:t xml:space="preserve"> ԱՀԿ-ի իմունականխարգել</w:t>
      </w:r>
      <w:r w:rsidR="00533646" w:rsidRPr="00286852">
        <w:rPr>
          <w:rFonts w:ascii="GHEA Grapalat" w:hAnsi="GHEA Grapalat"/>
          <w:sz w:val="24"/>
          <w:szCs w:val="24"/>
          <w:lang w:val="hy-AM"/>
        </w:rPr>
        <w:t>ման</w:t>
      </w:r>
      <w:r w:rsidRPr="00286852">
        <w:rPr>
          <w:rFonts w:ascii="GHEA Grapalat" w:hAnsi="GHEA Grapalat"/>
          <w:sz w:val="24"/>
          <w:szCs w:val="24"/>
          <w:lang w:val="hy-AM"/>
        </w:rPr>
        <w:t xml:space="preserve"> հարցերով</w:t>
      </w:r>
      <w:r w:rsidR="00533646" w:rsidRPr="00286852">
        <w:rPr>
          <w:rFonts w:ascii="GHEA Grapalat" w:hAnsi="GHEA Grapalat"/>
          <w:sz w:val="24"/>
          <w:szCs w:val="24"/>
          <w:lang w:val="hy-AM"/>
        </w:rPr>
        <w:t xml:space="preserve"> </w:t>
      </w:r>
      <w:r w:rsidRPr="00286852">
        <w:rPr>
          <w:rFonts w:ascii="GHEA Grapalat" w:hAnsi="GHEA Grapalat"/>
          <w:sz w:val="24"/>
          <w:szCs w:val="24"/>
          <w:lang w:val="hy-AM"/>
        </w:rPr>
        <w:t xml:space="preserve">ռազմավարական խորհրդատվական </w:t>
      </w:r>
      <w:r w:rsidR="00C6317D" w:rsidRPr="00286852">
        <w:rPr>
          <w:rFonts w:ascii="GHEA Grapalat" w:hAnsi="GHEA Grapalat"/>
          <w:sz w:val="24"/>
          <w:szCs w:val="24"/>
          <w:lang w:val="hy-AM"/>
        </w:rPr>
        <w:t xml:space="preserve">խմբի </w:t>
      </w:r>
      <w:r w:rsidR="007313A5" w:rsidRPr="00286852">
        <w:rPr>
          <w:rFonts w:ascii="GHEA Grapalat" w:hAnsi="GHEA Grapalat"/>
          <w:sz w:val="24"/>
          <w:szCs w:val="24"/>
          <w:lang w:val="hy-AM"/>
        </w:rPr>
        <w:t xml:space="preserve">փորձագետների </w:t>
      </w:r>
      <w:r w:rsidRPr="00286852">
        <w:rPr>
          <w:rFonts w:ascii="GHEA Grapalat" w:hAnsi="GHEA Grapalat"/>
          <w:sz w:val="24"/>
          <w:szCs w:val="24"/>
          <w:lang w:val="hy-AM"/>
        </w:rPr>
        <w:t>կողմից (SAGE) (http://www.who.int/immunization/ sage/en/):</w:t>
      </w:r>
    </w:p>
    <w:p w:rsidR="008A7C48" w:rsidRPr="00286852" w:rsidRDefault="00533646" w:rsidP="000711A4">
      <w:pPr>
        <w:spacing w:line="360" w:lineRule="auto"/>
        <w:ind w:firstLine="720"/>
        <w:jc w:val="both"/>
        <w:rPr>
          <w:rFonts w:ascii="GHEA Grapalat" w:hAnsi="GHEA Grapalat"/>
          <w:sz w:val="24"/>
          <w:szCs w:val="24"/>
          <w:lang w:val="hy-AM"/>
        </w:rPr>
      </w:pPr>
      <w:r w:rsidRPr="00286852">
        <w:rPr>
          <w:rFonts w:ascii="GHEA Grapalat" w:hAnsi="GHEA Grapalat"/>
          <w:sz w:val="24"/>
          <w:szCs w:val="24"/>
          <w:lang w:val="hy-AM"/>
        </w:rPr>
        <w:t xml:space="preserve">Առկա  ապացույցների որակը պարբերաբար գնահատվում է </w:t>
      </w:r>
      <w:r w:rsidR="008A7C48" w:rsidRPr="00286852">
        <w:rPr>
          <w:rFonts w:ascii="GHEA Grapalat" w:hAnsi="GHEA Grapalat"/>
          <w:sz w:val="24"/>
          <w:szCs w:val="24"/>
          <w:lang w:val="hy-AM"/>
        </w:rPr>
        <w:t>GRADE մեթոդաբանությ</w:t>
      </w:r>
      <w:r w:rsidRPr="00286852">
        <w:rPr>
          <w:rFonts w:ascii="GHEA Grapalat" w:hAnsi="GHEA Grapalat"/>
          <w:sz w:val="24"/>
          <w:szCs w:val="24"/>
          <w:lang w:val="hy-AM"/>
        </w:rPr>
        <w:t xml:space="preserve">ան կիրառմամբ։ </w:t>
      </w:r>
      <w:r w:rsidR="00C6317D" w:rsidRPr="00286852">
        <w:rPr>
          <w:rFonts w:ascii="GHEA Grapalat" w:hAnsi="GHEA Grapalat"/>
          <w:sz w:val="24"/>
          <w:szCs w:val="24"/>
          <w:lang w:val="hy-AM"/>
        </w:rPr>
        <w:t>Իմունականխարգելման հարցերով ռ</w:t>
      </w:r>
      <w:r w:rsidR="008A7C48" w:rsidRPr="00286852">
        <w:rPr>
          <w:rFonts w:ascii="GHEA Grapalat" w:hAnsi="GHEA Grapalat"/>
          <w:sz w:val="24"/>
          <w:szCs w:val="24"/>
          <w:lang w:val="hy-AM"/>
        </w:rPr>
        <w:t>ազմավարական խորհրդատվական խմբի փորձագետներ</w:t>
      </w:r>
      <w:r w:rsidRPr="00286852">
        <w:rPr>
          <w:rFonts w:ascii="GHEA Grapalat" w:hAnsi="GHEA Grapalat"/>
          <w:sz w:val="24"/>
          <w:szCs w:val="24"/>
          <w:lang w:val="hy-AM"/>
        </w:rPr>
        <w:t>ի (SAGE</w:t>
      </w:r>
      <w:r w:rsidR="008A7C48" w:rsidRPr="00286852">
        <w:rPr>
          <w:rFonts w:ascii="GHEA Grapalat" w:hAnsi="GHEA Grapalat"/>
          <w:sz w:val="24"/>
          <w:szCs w:val="24"/>
          <w:lang w:val="hy-AM"/>
        </w:rPr>
        <w:t>) որոշումների կայացման գործընթաց</w:t>
      </w:r>
      <w:r w:rsidRPr="00286852">
        <w:rPr>
          <w:rFonts w:ascii="GHEA Grapalat" w:hAnsi="GHEA Grapalat"/>
          <w:sz w:val="24"/>
          <w:szCs w:val="24"/>
          <w:lang w:val="hy-AM"/>
        </w:rPr>
        <w:t>ն</w:t>
      </w:r>
      <w:r w:rsidR="008A7C48" w:rsidRPr="00286852">
        <w:rPr>
          <w:rFonts w:ascii="GHEA Grapalat" w:hAnsi="GHEA Grapalat"/>
          <w:sz w:val="24"/>
          <w:szCs w:val="24"/>
          <w:lang w:val="hy-AM"/>
        </w:rPr>
        <w:t xml:space="preserve"> արտացոլվում է </w:t>
      </w:r>
      <w:r w:rsidR="00D5144C" w:rsidRPr="00286852">
        <w:rPr>
          <w:rFonts w:ascii="GHEA Grapalat" w:hAnsi="GHEA Grapalat"/>
          <w:sz w:val="24"/>
          <w:szCs w:val="24"/>
          <w:lang w:val="hy-AM"/>
        </w:rPr>
        <w:t xml:space="preserve">առաջարկների </w:t>
      </w:r>
      <w:r w:rsidR="008A7C48" w:rsidRPr="00286852">
        <w:rPr>
          <w:rFonts w:ascii="GHEA Grapalat" w:hAnsi="GHEA Grapalat"/>
          <w:sz w:val="24"/>
          <w:szCs w:val="24"/>
          <w:lang w:val="hy-AM"/>
        </w:rPr>
        <w:t>ապացույց</w:t>
      </w:r>
      <w:r w:rsidR="00D5144C" w:rsidRPr="00286852">
        <w:rPr>
          <w:rFonts w:ascii="GHEA Grapalat" w:hAnsi="GHEA Grapalat"/>
          <w:sz w:val="24"/>
          <w:szCs w:val="24"/>
          <w:lang w:val="hy-AM"/>
        </w:rPr>
        <w:t>ներ</w:t>
      </w:r>
      <w:r w:rsidR="008A7C48" w:rsidRPr="00286852">
        <w:rPr>
          <w:rFonts w:ascii="GHEA Grapalat" w:hAnsi="GHEA Grapalat"/>
          <w:sz w:val="24"/>
          <w:szCs w:val="24"/>
          <w:lang w:val="hy-AM"/>
        </w:rPr>
        <w:t>ի աղյուսակում:</w:t>
      </w:r>
    </w:p>
    <w:p w:rsidR="00E619FA" w:rsidRPr="00286852" w:rsidRDefault="00E619FA" w:rsidP="00584C06">
      <w:pPr>
        <w:spacing w:line="360" w:lineRule="auto"/>
        <w:jc w:val="both"/>
        <w:rPr>
          <w:rFonts w:ascii="GHEA Grapalat" w:hAnsi="GHEA Grapalat"/>
          <w:sz w:val="24"/>
          <w:szCs w:val="24"/>
          <w:lang w:val="hy-AM"/>
        </w:rPr>
      </w:pPr>
      <w:r w:rsidRPr="00286852">
        <w:rPr>
          <w:rFonts w:ascii="GHEA Grapalat" w:hAnsi="GHEA Grapalat"/>
          <w:sz w:val="24"/>
          <w:szCs w:val="24"/>
          <w:lang w:val="hy-AM"/>
        </w:rPr>
        <w:t>Պատվաստանյութի</w:t>
      </w:r>
      <w:r w:rsidR="00EC3709" w:rsidRPr="00286852">
        <w:rPr>
          <w:rFonts w:ascii="GHEA Grapalat" w:hAnsi="GHEA Grapalat"/>
          <w:sz w:val="24"/>
          <w:szCs w:val="24"/>
          <w:lang w:val="hy-AM"/>
        </w:rPr>
        <w:t xml:space="preserve"> վերաբերյալ</w:t>
      </w:r>
      <w:r w:rsidRPr="00286852">
        <w:rPr>
          <w:rFonts w:ascii="GHEA Grapalat" w:hAnsi="GHEA Grapalat"/>
          <w:sz w:val="24"/>
          <w:szCs w:val="24"/>
          <w:lang w:val="hy-AM"/>
        </w:rPr>
        <w:t xml:space="preserve"> պաշտոնական դիրքորոշ</w:t>
      </w:r>
      <w:r w:rsidR="00EC3709" w:rsidRPr="00286852">
        <w:rPr>
          <w:rFonts w:ascii="GHEA Grapalat" w:hAnsi="GHEA Grapalat"/>
          <w:sz w:val="24"/>
          <w:szCs w:val="24"/>
          <w:lang w:val="hy-AM"/>
        </w:rPr>
        <w:t>ում արտահայտող փաստաթղթերի</w:t>
      </w:r>
      <w:r w:rsidRPr="00286852">
        <w:rPr>
          <w:rFonts w:ascii="GHEA Grapalat" w:hAnsi="GHEA Grapalat"/>
          <w:sz w:val="24"/>
          <w:szCs w:val="24"/>
          <w:lang w:val="hy-AM"/>
        </w:rPr>
        <w:t xml:space="preserve"> մշակման գործընթացի նկարագրությունը հասանելի է հետևյալ </w:t>
      </w:r>
      <w:r w:rsidR="004D450F" w:rsidRPr="00286852">
        <w:rPr>
          <w:rFonts w:ascii="GHEA Grapalat" w:hAnsi="GHEA Grapalat"/>
          <w:sz w:val="24"/>
          <w:szCs w:val="24"/>
          <w:lang w:val="hy-AM"/>
        </w:rPr>
        <w:t>հղմամբ</w:t>
      </w:r>
      <w:r w:rsidRPr="00286852">
        <w:rPr>
          <w:rFonts w:ascii="GHEA Grapalat" w:hAnsi="GHEA Grapalat"/>
          <w:sz w:val="24"/>
          <w:szCs w:val="24"/>
          <w:lang w:val="hy-AM"/>
        </w:rPr>
        <w:t xml:space="preserve">. </w:t>
      </w:r>
      <w:hyperlink r:id="rId4" w:history="1">
        <w:r w:rsidRPr="00286852">
          <w:rPr>
            <w:rStyle w:val="Hyperlink"/>
            <w:rFonts w:ascii="GHEA Grapalat" w:hAnsi="GHEA Grapalat"/>
            <w:sz w:val="24"/>
            <w:szCs w:val="24"/>
          </w:rPr>
          <w:t>http://www.who.int/immunization/position_papers/position_paper_ process.pdf</w:t>
        </w:r>
      </w:hyperlink>
      <w:r w:rsidRPr="00286852">
        <w:rPr>
          <w:rFonts w:ascii="GHEA Grapalat" w:hAnsi="GHEA Grapalat"/>
          <w:sz w:val="24"/>
          <w:szCs w:val="24"/>
          <w:lang w:val="hy-AM"/>
        </w:rPr>
        <w:t>:</w:t>
      </w:r>
    </w:p>
    <w:p w:rsidR="00E619FA" w:rsidRPr="00286852" w:rsidRDefault="00E619FA" w:rsidP="00584C06">
      <w:pPr>
        <w:spacing w:line="360" w:lineRule="auto"/>
        <w:jc w:val="both"/>
        <w:rPr>
          <w:rFonts w:ascii="GHEA Grapalat" w:hAnsi="GHEA Grapalat"/>
          <w:sz w:val="24"/>
          <w:szCs w:val="24"/>
          <w:lang w:val="hy-AM"/>
        </w:rPr>
      </w:pPr>
      <w:r w:rsidRPr="00286852">
        <w:rPr>
          <w:rFonts w:ascii="GHEA Grapalat" w:hAnsi="GHEA Grapalat"/>
          <w:sz w:val="24"/>
          <w:szCs w:val="24"/>
          <w:lang w:val="hy-AM"/>
        </w:rPr>
        <w:t>Պաշտոնական դիրքորոշ</w:t>
      </w:r>
      <w:r w:rsidR="006C2408" w:rsidRPr="00286852">
        <w:rPr>
          <w:rFonts w:ascii="GHEA Grapalat" w:hAnsi="GHEA Grapalat"/>
          <w:sz w:val="24"/>
          <w:szCs w:val="24"/>
          <w:lang w:val="hy-AM"/>
        </w:rPr>
        <w:t>ում արտահայտող</w:t>
      </w:r>
      <w:r w:rsidRPr="00286852">
        <w:rPr>
          <w:rFonts w:ascii="GHEA Grapalat" w:hAnsi="GHEA Grapalat"/>
          <w:sz w:val="24"/>
          <w:szCs w:val="24"/>
          <w:lang w:val="hy-AM"/>
        </w:rPr>
        <w:t xml:space="preserve"> փաստաթղթերը  </w:t>
      </w:r>
      <w:r w:rsidR="00E35500" w:rsidRPr="00286852">
        <w:rPr>
          <w:rFonts w:ascii="GHEA Grapalat" w:hAnsi="GHEA Grapalat"/>
          <w:sz w:val="24"/>
          <w:szCs w:val="24"/>
          <w:lang w:val="hy-AM"/>
        </w:rPr>
        <w:t xml:space="preserve">հիմնականում </w:t>
      </w:r>
      <w:r w:rsidRPr="00286852">
        <w:rPr>
          <w:rFonts w:ascii="GHEA Grapalat" w:hAnsi="GHEA Grapalat"/>
          <w:sz w:val="24"/>
          <w:szCs w:val="24"/>
          <w:lang w:val="hy-AM"/>
        </w:rPr>
        <w:t xml:space="preserve">նախատեսված են </w:t>
      </w:r>
      <w:r w:rsidR="00E35500" w:rsidRPr="00286852">
        <w:rPr>
          <w:rFonts w:ascii="GHEA Grapalat" w:hAnsi="GHEA Grapalat"/>
          <w:sz w:val="24"/>
          <w:szCs w:val="24"/>
          <w:lang w:val="hy-AM"/>
        </w:rPr>
        <w:t xml:space="preserve">հանրային առողջապահության ոլորտի </w:t>
      </w:r>
      <w:r w:rsidRPr="00286852">
        <w:rPr>
          <w:rFonts w:ascii="GHEA Grapalat" w:hAnsi="GHEA Grapalat"/>
          <w:sz w:val="24"/>
          <w:szCs w:val="24"/>
          <w:lang w:val="hy-AM"/>
        </w:rPr>
        <w:t xml:space="preserve">ազգային պաշտոնյաների և </w:t>
      </w:r>
      <w:r w:rsidR="00E35500" w:rsidRPr="00286852">
        <w:rPr>
          <w:rFonts w:ascii="GHEA Grapalat" w:hAnsi="GHEA Grapalat"/>
          <w:sz w:val="24"/>
          <w:szCs w:val="24"/>
          <w:lang w:val="hy-AM"/>
        </w:rPr>
        <w:t>իմունականխարգելման</w:t>
      </w:r>
      <w:r w:rsidRPr="00286852">
        <w:rPr>
          <w:rFonts w:ascii="GHEA Grapalat" w:hAnsi="GHEA Grapalat"/>
          <w:sz w:val="24"/>
          <w:szCs w:val="24"/>
          <w:lang w:val="hy-AM"/>
        </w:rPr>
        <w:t xml:space="preserve"> ծրագրերի ղեկավարների </w:t>
      </w:r>
      <w:r w:rsidR="00C1150A" w:rsidRPr="00286852">
        <w:rPr>
          <w:rFonts w:ascii="GHEA Grapalat" w:hAnsi="GHEA Grapalat"/>
          <w:sz w:val="24"/>
          <w:szCs w:val="24"/>
          <w:lang w:val="hy-AM"/>
        </w:rPr>
        <w:t>կիրառման համար</w:t>
      </w:r>
      <w:r w:rsidRPr="00286852">
        <w:rPr>
          <w:rFonts w:ascii="GHEA Grapalat" w:hAnsi="GHEA Grapalat"/>
          <w:sz w:val="24"/>
          <w:szCs w:val="24"/>
          <w:lang w:val="hy-AM"/>
        </w:rPr>
        <w:t>:</w:t>
      </w:r>
    </w:p>
    <w:p w:rsidR="000258E8" w:rsidRPr="00286852" w:rsidRDefault="00E35500" w:rsidP="00584C06">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Դրանք</w:t>
      </w:r>
      <w:r w:rsidR="000258E8" w:rsidRPr="00286852">
        <w:rPr>
          <w:rFonts w:ascii="GHEA Grapalat" w:hAnsi="GHEA Grapalat"/>
          <w:sz w:val="24"/>
          <w:szCs w:val="24"/>
          <w:lang w:val="hy-AM"/>
        </w:rPr>
        <w:t xml:space="preserve"> կարող են նաև </w:t>
      </w:r>
      <w:r w:rsidRPr="00286852">
        <w:rPr>
          <w:rFonts w:ascii="GHEA Grapalat" w:hAnsi="GHEA Grapalat"/>
          <w:sz w:val="24"/>
          <w:szCs w:val="24"/>
          <w:lang w:val="hy-AM"/>
        </w:rPr>
        <w:t>հետաքրքրել</w:t>
      </w:r>
      <w:r w:rsidR="000258E8" w:rsidRPr="00286852">
        <w:rPr>
          <w:rFonts w:ascii="GHEA Grapalat" w:hAnsi="GHEA Grapalat"/>
          <w:sz w:val="24"/>
          <w:szCs w:val="24"/>
          <w:lang w:val="hy-AM"/>
        </w:rPr>
        <w:t xml:space="preserve"> միջազգային ֆինանսա</w:t>
      </w:r>
      <w:r w:rsidRPr="00286852">
        <w:rPr>
          <w:rFonts w:ascii="GHEA Grapalat" w:hAnsi="GHEA Grapalat"/>
          <w:sz w:val="24"/>
          <w:szCs w:val="24"/>
          <w:lang w:val="hy-AM"/>
        </w:rPr>
        <w:t>կան</w:t>
      </w:r>
      <w:r w:rsidR="000258E8" w:rsidRPr="00286852">
        <w:rPr>
          <w:rFonts w:ascii="GHEA Grapalat" w:hAnsi="GHEA Grapalat"/>
          <w:sz w:val="24"/>
          <w:szCs w:val="24"/>
          <w:lang w:val="hy-AM"/>
        </w:rPr>
        <w:t xml:space="preserve"> գործակալությունների</w:t>
      </w:r>
      <w:r w:rsidRPr="00286852">
        <w:rPr>
          <w:rFonts w:ascii="GHEA Grapalat" w:hAnsi="GHEA Grapalat"/>
          <w:sz w:val="24"/>
          <w:szCs w:val="24"/>
          <w:lang w:val="hy-AM"/>
        </w:rPr>
        <w:t>ն</w:t>
      </w:r>
      <w:r w:rsidR="000258E8" w:rsidRPr="00286852">
        <w:rPr>
          <w:rFonts w:ascii="GHEA Grapalat" w:hAnsi="GHEA Grapalat"/>
          <w:sz w:val="24"/>
          <w:szCs w:val="24"/>
          <w:lang w:val="hy-AM"/>
        </w:rPr>
        <w:t xml:space="preserve">, </w:t>
      </w:r>
      <w:r w:rsidRPr="00286852">
        <w:rPr>
          <w:rFonts w:ascii="GHEA Grapalat" w:hAnsi="GHEA Grapalat"/>
          <w:sz w:val="24"/>
          <w:szCs w:val="24"/>
          <w:lang w:val="hy-AM"/>
        </w:rPr>
        <w:t>իմունականխարգելման հարցերով</w:t>
      </w:r>
      <w:r w:rsidR="000258E8" w:rsidRPr="00286852">
        <w:rPr>
          <w:rFonts w:ascii="GHEA Grapalat" w:hAnsi="GHEA Grapalat"/>
          <w:sz w:val="24"/>
          <w:szCs w:val="24"/>
          <w:lang w:val="hy-AM"/>
        </w:rPr>
        <w:t xml:space="preserve"> խորհրդատվական խմբերի</w:t>
      </w:r>
      <w:r w:rsidRPr="00286852">
        <w:rPr>
          <w:rFonts w:ascii="GHEA Grapalat" w:hAnsi="GHEA Grapalat"/>
          <w:sz w:val="24"/>
          <w:szCs w:val="24"/>
          <w:lang w:val="hy-AM"/>
        </w:rPr>
        <w:t>ն</w:t>
      </w:r>
      <w:r w:rsidR="000258E8" w:rsidRPr="00286852">
        <w:rPr>
          <w:rFonts w:ascii="GHEA Grapalat" w:hAnsi="GHEA Grapalat"/>
          <w:sz w:val="24"/>
          <w:szCs w:val="24"/>
          <w:lang w:val="hy-AM"/>
        </w:rPr>
        <w:t>, պատվաստանյութեր արտադրողների</w:t>
      </w:r>
      <w:r w:rsidRPr="00286852">
        <w:rPr>
          <w:rFonts w:ascii="GHEA Grapalat" w:hAnsi="GHEA Grapalat"/>
          <w:sz w:val="24"/>
          <w:szCs w:val="24"/>
          <w:lang w:val="hy-AM"/>
        </w:rPr>
        <w:t>ն</w:t>
      </w:r>
      <w:r w:rsidR="000258E8" w:rsidRPr="00286852">
        <w:rPr>
          <w:rFonts w:ascii="GHEA Grapalat" w:hAnsi="GHEA Grapalat"/>
          <w:sz w:val="24"/>
          <w:szCs w:val="24"/>
          <w:lang w:val="hy-AM"/>
        </w:rPr>
        <w:t xml:space="preserve">, </w:t>
      </w:r>
      <w:r w:rsidRPr="00286852">
        <w:rPr>
          <w:rFonts w:ascii="GHEA Grapalat" w:hAnsi="GHEA Grapalat"/>
          <w:sz w:val="24"/>
          <w:szCs w:val="24"/>
          <w:lang w:val="hy-AM"/>
        </w:rPr>
        <w:t>բուժաշխատողներին</w:t>
      </w:r>
      <w:r w:rsidR="000258E8" w:rsidRPr="00286852">
        <w:rPr>
          <w:rFonts w:ascii="GHEA Grapalat" w:hAnsi="GHEA Grapalat"/>
          <w:sz w:val="24"/>
          <w:szCs w:val="24"/>
          <w:lang w:val="hy-AM"/>
        </w:rPr>
        <w:t xml:space="preserve">, </w:t>
      </w:r>
      <w:r w:rsidRPr="00286852">
        <w:rPr>
          <w:rFonts w:ascii="GHEA Grapalat" w:hAnsi="GHEA Grapalat"/>
          <w:sz w:val="24"/>
          <w:szCs w:val="24"/>
          <w:lang w:val="hy-AM"/>
        </w:rPr>
        <w:t>լրագրողներին</w:t>
      </w:r>
      <w:r w:rsidR="000258E8" w:rsidRPr="00286852">
        <w:rPr>
          <w:rFonts w:ascii="GHEA Grapalat" w:hAnsi="GHEA Grapalat"/>
          <w:sz w:val="24"/>
          <w:szCs w:val="24"/>
          <w:lang w:val="hy-AM"/>
        </w:rPr>
        <w:t xml:space="preserve">, ինչպես նաև  </w:t>
      </w:r>
      <w:r w:rsidRPr="00286852">
        <w:rPr>
          <w:rFonts w:ascii="GHEA Grapalat" w:hAnsi="GHEA Grapalat"/>
          <w:sz w:val="24"/>
          <w:szCs w:val="24"/>
          <w:lang w:val="hy-AM"/>
        </w:rPr>
        <w:t>հասարակությանը</w:t>
      </w:r>
      <w:r w:rsidR="000258E8" w:rsidRPr="00286852">
        <w:rPr>
          <w:rFonts w:ascii="GHEA Grapalat" w:hAnsi="GHEA Grapalat"/>
          <w:sz w:val="24"/>
          <w:szCs w:val="24"/>
          <w:lang w:val="hy-AM"/>
        </w:rPr>
        <w:t>:</w:t>
      </w:r>
    </w:p>
    <w:p w:rsidR="00066B8A" w:rsidRPr="00286852" w:rsidRDefault="005E13AB" w:rsidP="000711A4">
      <w:pPr>
        <w:spacing w:line="360" w:lineRule="auto"/>
        <w:ind w:firstLine="720"/>
        <w:jc w:val="both"/>
        <w:rPr>
          <w:rFonts w:ascii="GHEA Grapalat" w:hAnsi="GHEA Grapalat"/>
          <w:sz w:val="24"/>
          <w:szCs w:val="24"/>
          <w:lang w:val="hy-AM"/>
        </w:rPr>
      </w:pPr>
      <w:r w:rsidRPr="00286852">
        <w:rPr>
          <w:rFonts w:ascii="GHEA Grapalat" w:hAnsi="GHEA Grapalat"/>
          <w:sz w:val="24"/>
          <w:szCs w:val="24"/>
          <w:lang w:val="hy-AM"/>
        </w:rPr>
        <w:t xml:space="preserve">Սույն  փաստաթուղթը փոխարինում է </w:t>
      </w:r>
      <w:r w:rsidR="005A6BB1" w:rsidRPr="00286852">
        <w:rPr>
          <w:rFonts w:ascii="GHEA Grapalat" w:hAnsi="GHEA Grapalat"/>
          <w:sz w:val="24"/>
          <w:szCs w:val="24"/>
          <w:lang w:val="hy-AM"/>
        </w:rPr>
        <w:t>մարդու պապիլոմավիրուսային վարակի</w:t>
      </w:r>
      <w:r w:rsidR="000D5EA1" w:rsidRPr="00286852">
        <w:rPr>
          <w:rFonts w:ascii="GHEA Grapalat" w:hAnsi="GHEA Grapalat"/>
          <w:sz w:val="24"/>
          <w:szCs w:val="24"/>
          <w:lang w:val="hy-AM"/>
        </w:rPr>
        <w:t xml:space="preserve"> (</w:t>
      </w:r>
      <w:r w:rsidR="005C38FB" w:rsidRPr="00286852">
        <w:rPr>
          <w:rFonts w:ascii="GHEA Grapalat" w:hAnsi="GHEA Grapalat"/>
          <w:sz w:val="24"/>
          <w:szCs w:val="24"/>
          <w:lang w:val="hy-AM"/>
        </w:rPr>
        <w:t>ՄՊՎ</w:t>
      </w:r>
      <w:r w:rsidR="000D5EA1" w:rsidRPr="00286852">
        <w:rPr>
          <w:rFonts w:ascii="GHEA Grapalat" w:hAnsi="GHEA Grapalat"/>
          <w:sz w:val="24"/>
          <w:szCs w:val="24"/>
          <w:lang w:val="hy-AM"/>
        </w:rPr>
        <w:t>)</w:t>
      </w:r>
      <w:r w:rsidR="005A6BB1" w:rsidRPr="00286852">
        <w:rPr>
          <w:rFonts w:ascii="GHEA Grapalat" w:hAnsi="GHEA Grapalat"/>
          <w:sz w:val="24"/>
          <w:szCs w:val="24"/>
          <w:lang w:val="hy-AM"/>
        </w:rPr>
        <w:t xml:space="preserve"> </w:t>
      </w:r>
      <w:r w:rsidR="000D5EA1" w:rsidRPr="00286852">
        <w:rPr>
          <w:rFonts w:ascii="GHEA Grapalat" w:hAnsi="GHEA Grapalat"/>
          <w:sz w:val="24"/>
          <w:szCs w:val="24"/>
          <w:lang w:val="hy-AM"/>
        </w:rPr>
        <w:t xml:space="preserve">հետևանքով առաջացող հիվանդությունների դեմ պատավաստանյութերի նկատմամբ </w:t>
      </w:r>
      <w:r w:rsidRPr="00286852">
        <w:rPr>
          <w:rFonts w:ascii="GHEA Grapalat" w:hAnsi="GHEA Grapalat"/>
          <w:sz w:val="24"/>
          <w:szCs w:val="24"/>
          <w:lang w:val="hy-AM"/>
        </w:rPr>
        <w:t xml:space="preserve">ԱՀԿ-ի </w:t>
      </w:r>
      <w:r w:rsidR="000D5EA1" w:rsidRPr="00286852">
        <w:rPr>
          <w:rFonts w:ascii="GHEA Grapalat" w:hAnsi="GHEA Grapalat"/>
          <w:sz w:val="24"/>
          <w:szCs w:val="24"/>
          <w:lang w:val="hy-AM"/>
        </w:rPr>
        <w:t xml:space="preserve">2014 թ. </w:t>
      </w:r>
      <w:r w:rsidR="00CA0810" w:rsidRPr="00286852">
        <w:rPr>
          <w:rFonts w:ascii="GHEA Grapalat" w:hAnsi="GHEA Grapalat"/>
          <w:sz w:val="24"/>
          <w:szCs w:val="24"/>
          <w:lang w:val="hy-AM"/>
        </w:rPr>
        <w:t>պաշտոնական դիրքորոշումը</w:t>
      </w:r>
      <w:r w:rsidR="000D5EA1" w:rsidRPr="00286852">
        <w:rPr>
          <w:rFonts w:ascii="GHEA Grapalat" w:hAnsi="GHEA Grapalat"/>
          <w:sz w:val="24"/>
          <w:szCs w:val="24"/>
          <w:lang w:val="hy-AM"/>
        </w:rPr>
        <w:t xml:space="preserve">։ </w:t>
      </w:r>
      <w:r w:rsidR="00CA0810" w:rsidRPr="00286852">
        <w:rPr>
          <w:rFonts w:ascii="GHEA Grapalat" w:hAnsi="GHEA Grapalat"/>
          <w:sz w:val="24"/>
          <w:szCs w:val="24"/>
          <w:lang w:val="hy-AM"/>
        </w:rPr>
        <w:t xml:space="preserve"> Այն հիմնականում </w:t>
      </w:r>
      <w:r w:rsidR="0067546E" w:rsidRPr="00286852">
        <w:rPr>
          <w:rFonts w:ascii="GHEA Grapalat" w:hAnsi="GHEA Grapalat"/>
          <w:sz w:val="24"/>
          <w:szCs w:val="24"/>
          <w:lang w:val="hy-AM"/>
        </w:rPr>
        <w:t>վերաբերում</w:t>
      </w:r>
      <w:r w:rsidR="00CA0810" w:rsidRPr="00286852">
        <w:rPr>
          <w:rFonts w:ascii="GHEA Grapalat" w:hAnsi="GHEA Grapalat"/>
          <w:sz w:val="24"/>
          <w:szCs w:val="24"/>
          <w:lang w:val="hy-AM"/>
        </w:rPr>
        <w:t xml:space="preserve"> է արգանդի </w:t>
      </w:r>
      <w:r w:rsidR="0067546E" w:rsidRPr="00286852">
        <w:rPr>
          <w:rFonts w:ascii="GHEA Grapalat" w:hAnsi="GHEA Grapalat"/>
          <w:sz w:val="24"/>
          <w:szCs w:val="24"/>
          <w:lang w:val="hy-AM"/>
        </w:rPr>
        <w:t>պարանոցի</w:t>
      </w:r>
      <w:r w:rsidR="00CA0810" w:rsidRPr="00286852">
        <w:rPr>
          <w:rFonts w:ascii="GHEA Grapalat" w:hAnsi="GHEA Grapalat"/>
          <w:sz w:val="24"/>
          <w:szCs w:val="24"/>
          <w:lang w:val="hy-AM"/>
        </w:rPr>
        <w:t xml:space="preserve"> քաղցկեղի կանխարգելման</w:t>
      </w:r>
      <w:r w:rsidR="0067546E" w:rsidRPr="00286852">
        <w:rPr>
          <w:rFonts w:ascii="GHEA Grapalat" w:hAnsi="GHEA Grapalat"/>
          <w:sz w:val="24"/>
          <w:szCs w:val="24"/>
          <w:lang w:val="hy-AM"/>
        </w:rPr>
        <w:t>ը</w:t>
      </w:r>
      <w:r w:rsidR="00CA0810" w:rsidRPr="00286852">
        <w:rPr>
          <w:rFonts w:ascii="GHEA Grapalat" w:hAnsi="GHEA Grapalat"/>
          <w:sz w:val="24"/>
          <w:szCs w:val="24"/>
          <w:lang w:val="hy-AM"/>
        </w:rPr>
        <w:t>, ինչպես նաև</w:t>
      </w:r>
      <w:r w:rsidR="004804B2" w:rsidRPr="00286852">
        <w:rPr>
          <w:rFonts w:ascii="GHEA Grapalat" w:hAnsi="GHEA Grapalat"/>
          <w:sz w:val="24"/>
          <w:szCs w:val="24"/>
          <w:lang w:val="hy-AM"/>
        </w:rPr>
        <w:t xml:space="preserve"> </w:t>
      </w:r>
      <w:r w:rsidR="0067546E" w:rsidRPr="00286852">
        <w:rPr>
          <w:rFonts w:ascii="GHEA Grapalat" w:hAnsi="GHEA Grapalat"/>
          <w:sz w:val="24"/>
          <w:szCs w:val="24"/>
          <w:lang w:val="hy-AM"/>
        </w:rPr>
        <w:t>պարունակում է տեղեկատվություն</w:t>
      </w:r>
      <w:r w:rsidR="00CA0810" w:rsidRPr="00286852">
        <w:rPr>
          <w:rFonts w:ascii="GHEA Grapalat" w:hAnsi="GHEA Grapalat"/>
          <w:sz w:val="24"/>
          <w:szCs w:val="24"/>
          <w:lang w:val="hy-AM"/>
        </w:rPr>
        <w:t xml:space="preserve"> </w:t>
      </w:r>
      <w:r w:rsidR="0067546E" w:rsidRPr="00286852">
        <w:rPr>
          <w:rFonts w:ascii="GHEA Grapalat" w:hAnsi="GHEA Grapalat"/>
          <w:sz w:val="24"/>
          <w:szCs w:val="24"/>
          <w:lang w:val="hy-AM"/>
        </w:rPr>
        <w:t>ՄՊՎ</w:t>
      </w:r>
      <w:r w:rsidR="004804B2" w:rsidRPr="00286852">
        <w:rPr>
          <w:rFonts w:ascii="GHEA Grapalat" w:hAnsi="GHEA Grapalat"/>
          <w:sz w:val="24"/>
          <w:szCs w:val="24"/>
          <w:lang w:val="hy-AM"/>
        </w:rPr>
        <w:t>-ի</w:t>
      </w:r>
      <w:r w:rsidR="0067546E" w:rsidRPr="00286852">
        <w:rPr>
          <w:rFonts w:ascii="GHEA Grapalat" w:hAnsi="GHEA Grapalat"/>
          <w:sz w:val="24"/>
          <w:szCs w:val="24"/>
          <w:lang w:val="hy-AM"/>
        </w:rPr>
        <w:t xml:space="preserve"> դեմ պատվոաստումների միջոցով կանխարգելվող </w:t>
      </w:r>
      <w:r w:rsidR="00CA0810" w:rsidRPr="00286852">
        <w:rPr>
          <w:rFonts w:ascii="GHEA Grapalat" w:hAnsi="GHEA Grapalat"/>
          <w:sz w:val="24"/>
          <w:szCs w:val="24"/>
          <w:lang w:val="hy-AM"/>
        </w:rPr>
        <w:t xml:space="preserve">քաղցկեղի </w:t>
      </w:r>
      <w:r w:rsidR="0067546E" w:rsidRPr="00286852">
        <w:rPr>
          <w:rFonts w:ascii="GHEA Grapalat" w:hAnsi="GHEA Grapalat"/>
          <w:sz w:val="24"/>
          <w:szCs w:val="24"/>
          <w:lang w:val="hy-AM"/>
        </w:rPr>
        <w:t xml:space="preserve">այլ </w:t>
      </w:r>
      <w:r w:rsidR="00CA0810" w:rsidRPr="00286852">
        <w:rPr>
          <w:rFonts w:ascii="GHEA Grapalat" w:hAnsi="GHEA Grapalat"/>
          <w:sz w:val="24"/>
          <w:szCs w:val="24"/>
          <w:lang w:val="hy-AM"/>
        </w:rPr>
        <w:t>տեսակներ</w:t>
      </w:r>
      <w:r w:rsidR="0067546E" w:rsidRPr="00286852">
        <w:rPr>
          <w:rFonts w:ascii="GHEA Grapalat" w:hAnsi="GHEA Grapalat"/>
          <w:sz w:val="24"/>
          <w:szCs w:val="24"/>
          <w:lang w:val="hy-AM"/>
        </w:rPr>
        <w:t>ի</w:t>
      </w:r>
      <w:r w:rsidR="00CA0810" w:rsidRPr="00286852">
        <w:rPr>
          <w:rFonts w:ascii="GHEA Grapalat" w:hAnsi="GHEA Grapalat"/>
          <w:sz w:val="24"/>
          <w:szCs w:val="24"/>
          <w:lang w:val="hy-AM"/>
        </w:rPr>
        <w:t xml:space="preserve"> և այլ հիվանդություններ</w:t>
      </w:r>
      <w:r w:rsidR="0067546E" w:rsidRPr="00286852">
        <w:rPr>
          <w:rFonts w:ascii="GHEA Grapalat" w:hAnsi="GHEA Grapalat"/>
          <w:sz w:val="24"/>
          <w:szCs w:val="24"/>
          <w:lang w:val="hy-AM"/>
        </w:rPr>
        <w:t xml:space="preserve"> մասին։ </w:t>
      </w:r>
      <w:r w:rsidR="00574E41" w:rsidRPr="00286852">
        <w:rPr>
          <w:rFonts w:ascii="GHEA Grapalat" w:hAnsi="GHEA Grapalat"/>
          <w:sz w:val="24"/>
          <w:szCs w:val="24"/>
          <w:lang w:val="hy-AM"/>
        </w:rPr>
        <w:t>Այն ներառում է ՄՊՎ</w:t>
      </w:r>
      <w:r w:rsidR="004804B2" w:rsidRPr="00286852">
        <w:rPr>
          <w:rFonts w:ascii="GHEA Grapalat" w:hAnsi="GHEA Grapalat"/>
          <w:sz w:val="24"/>
          <w:szCs w:val="24"/>
          <w:lang w:val="hy-AM"/>
        </w:rPr>
        <w:t>-ի դեմ</w:t>
      </w:r>
      <w:r w:rsidR="00574E41" w:rsidRPr="00286852">
        <w:rPr>
          <w:rFonts w:ascii="GHEA Grapalat" w:hAnsi="GHEA Grapalat"/>
          <w:sz w:val="24"/>
          <w:szCs w:val="24"/>
          <w:lang w:val="hy-AM"/>
        </w:rPr>
        <w:t xml:space="preserve"> պատվաստանյութերի հետ կապված վերջին զարգացումները, այդ թվում</w:t>
      </w:r>
      <w:r w:rsidR="0067546E" w:rsidRPr="00286852">
        <w:rPr>
          <w:rFonts w:ascii="GHEA Grapalat" w:hAnsi="GHEA Grapalat"/>
          <w:sz w:val="24"/>
          <w:szCs w:val="24"/>
          <w:lang w:val="hy-AM"/>
        </w:rPr>
        <w:t>, 9-</w:t>
      </w:r>
      <w:r w:rsidR="00574E41" w:rsidRPr="00286852">
        <w:rPr>
          <w:rFonts w:ascii="GHEA Grapalat" w:hAnsi="GHEA Grapalat"/>
          <w:sz w:val="24"/>
          <w:szCs w:val="24"/>
          <w:lang w:val="hy-AM"/>
        </w:rPr>
        <w:t xml:space="preserve">վալենտ պատվաստանյութի </w:t>
      </w:r>
      <w:r w:rsidR="0067546E" w:rsidRPr="00286852">
        <w:rPr>
          <w:rFonts w:ascii="GHEA Grapalat" w:hAnsi="GHEA Grapalat"/>
          <w:sz w:val="24"/>
          <w:szCs w:val="24"/>
          <w:lang w:val="hy-AM"/>
        </w:rPr>
        <w:t>արտոնագրման և</w:t>
      </w:r>
      <w:r w:rsidR="00574E41" w:rsidRPr="00286852">
        <w:rPr>
          <w:rFonts w:ascii="GHEA Grapalat" w:hAnsi="GHEA Grapalat"/>
          <w:sz w:val="24"/>
          <w:szCs w:val="24"/>
          <w:lang w:val="hy-AM"/>
        </w:rPr>
        <w:t xml:space="preserve"> պատվաստանյութի արդյունավետության վերաբերյալ վերջին տվյալները, ինչպես նաև առաջարկություններ է տրամադրում պատվաստանյութի ընտրության վերաբերյալ:</w:t>
      </w:r>
      <w:r w:rsidR="00C65763" w:rsidRPr="00286852">
        <w:rPr>
          <w:rFonts w:ascii="GHEA Grapalat" w:hAnsi="GHEA Grapalat"/>
          <w:sz w:val="24"/>
          <w:szCs w:val="24"/>
          <w:lang w:val="hy-AM"/>
        </w:rPr>
        <w:t xml:space="preserve"> Նոր </w:t>
      </w:r>
      <w:r w:rsidR="00DD6B83" w:rsidRPr="00286852">
        <w:rPr>
          <w:rFonts w:ascii="GHEA Grapalat" w:hAnsi="GHEA Grapalat"/>
          <w:sz w:val="24"/>
          <w:szCs w:val="24"/>
          <w:lang w:val="hy-AM"/>
        </w:rPr>
        <w:t>առաջարկություններ</w:t>
      </w:r>
      <w:r w:rsidR="00C65763" w:rsidRPr="00286852">
        <w:rPr>
          <w:rFonts w:ascii="GHEA Grapalat" w:hAnsi="GHEA Grapalat"/>
          <w:sz w:val="24"/>
          <w:szCs w:val="24"/>
          <w:lang w:val="hy-AM"/>
        </w:rPr>
        <w:t xml:space="preserve"> </w:t>
      </w:r>
      <w:r w:rsidR="00DD6B83" w:rsidRPr="00286852">
        <w:rPr>
          <w:rFonts w:ascii="GHEA Grapalat" w:hAnsi="GHEA Grapalat"/>
          <w:sz w:val="24"/>
          <w:szCs w:val="24"/>
          <w:lang w:val="hy-AM"/>
        </w:rPr>
        <w:t xml:space="preserve">են </w:t>
      </w:r>
      <w:r w:rsidR="00C65763" w:rsidRPr="00286852">
        <w:rPr>
          <w:rFonts w:ascii="GHEA Grapalat" w:hAnsi="GHEA Grapalat"/>
          <w:sz w:val="24"/>
          <w:szCs w:val="24"/>
          <w:lang w:val="hy-AM"/>
        </w:rPr>
        <w:t>ներկայացվում</w:t>
      </w:r>
      <w:r w:rsidR="004804B2" w:rsidRPr="00286852">
        <w:rPr>
          <w:rFonts w:ascii="GHEA Grapalat" w:hAnsi="GHEA Grapalat"/>
          <w:sz w:val="24"/>
          <w:szCs w:val="24"/>
          <w:lang w:val="hy-AM"/>
        </w:rPr>
        <w:t>՝</w:t>
      </w:r>
      <w:r w:rsidR="00C65763" w:rsidRPr="00286852">
        <w:rPr>
          <w:rFonts w:ascii="GHEA Grapalat" w:hAnsi="GHEA Grapalat"/>
          <w:sz w:val="24"/>
          <w:szCs w:val="24"/>
          <w:lang w:val="hy-AM"/>
        </w:rPr>
        <w:t xml:space="preserve"> կապված պատվաստման ռազմավարությունների </w:t>
      </w:r>
      <w:r w:rsidR="004804B2" w:rsidRPr="00286852">
        <w:rPr>
          <w:rFonts w:ascii="GHEA Grapalat" w:hAnsi="GHEA Grapalat"/>
          <w:sz w:val="24"/>
          <w:szCs w:val="24"/>
          <w:lang w:val="hy-AM"/>
        </w:rPr>
        <w:t>հետ,</w:t>
      </w:r>
      <w:r w:rsidR="00C65763" w:rsidRPr="00286852">
        <w:rPr>
          <w:rFonts w:ascii="GHEA Grapalat" w:hAnsi="GHEA Grapalat"/>
          <w:sz w:val="24"/>
          <w:szCs w:val="24"/>
          <w:lang w:val="hy-AM"/>
        </w:rPr>
        <w:t xml:space="preserve">  </w:t>
      </w:r>
      <w:r w:rsidR="0067546E" w:rsidRPr="00286852">
        <w:rPr>
          <w:rFonts w:ascii="GHEA Grapalat" w:hAnsi="GHEA Grapalat"/>
          <w:sz w:val="24"/>
          <w:szCs w:val="24"/>
          <w:lang w:val="hy-AM"/>
        </w:rPr>
        <w:t xml:space="preserve">որպես </w:t>
      </w:r>
      <w:r w:rsidR="00C65763" w:rsidRPr="00286852">
        <w:rPr>
          <w:rFonts w:ascii="GHEA Grapalat" w:hAnsi="GHEA Grapalat"/>
          <w:sz w:val="24"/>
          <w:szCs w:val="24"/>
          <w:lang w:val="hy-AM"/>
        </w:rPr>
        <w:t>թիրախ</w:t>
      </w:r>
      <w:r w:rsidR="0067546E" w:rsidRPr="00286852">
        <w:rPr>
          <w:rFonts w:ascii="GHEA Grapalat" w:hAnsi="GHEA Grapalat"/>
          <w:sz w:val="24"/>
          <w:szCs w:val="24"/>
          <w:lang w:val="hy-AM"/>
        </w:rPr>
        <w:t xml:space="preserve"> ընտր</w:t>
      </w:r>
      <w:r w:rsidR="00C65763" w:rsidRPr="00286852">
        <w:rPr>
          <w:rFonts w:ascii="GHEA Grapalat" w:hAnsi="GHEA Grapalat"/>
          <w:sz w:val="24"/>
          <w:szCs w:val="24"/>
          <w:lang w:val="hy-AM"/>
        </w:rPr>
        <w:t xml:space="preserve">ելով միայն աղջիկներին կամ </w:t>
      </w:r>
      <w:r w:rsidR="00DD6B83" w:rsidRPr="00286852">
        <w:rPr>
          <w:rFonts w:ascii="GHEA Grapalat" w:hAnsi="GHEA Grapalat"/>
          <w:sz w:val="24"/>
          <w:szCs w:val="24"/>
          <w:lang w:val="hy-AM"/>
        </w:rPr>
        <w:t xml:space="preserve">և՛ </w:t>
      </w:r>
      <w:r w:rsidR="00C65763" w:rsidRPr="00286852">
        <w:rPr>
          <w:rFonts w:ascii="GHEA Grapalat" w:hAnsi="GHEA Grapalat"/>
          <w:sz w:val="24"/>
          <w:szCs w:val="24"/>
          <w:lang w:val="hy-AM"/>
        </w:rPr>
        <w:t>աղջիկներին</w:t>
      </w:r>
      <w:r w:rsidR="00DD6B83" w:rsidRPr="00286852">
        <w:rPr>
          <w:rFonts w:ascii="GHEA Grapalat" w:hAnsi="GHEA Grapalat"/>
          <w:sz w:val="24"/>
          <w:szCs w:val="24"/>
          <w:lang w:val="hy-AM"/>
        </w:rPr>
        <w:t>,</w:t>
      </w:r>
      <w:r w:rsidR="00C65763" w:rsidRPr="00286852">
        <w:rPr>
          <w:rFonts w:ascii="GHEA Grapalat" w:hAnsi="GHEA Grapalat"/>
          <w:sz w:val="24"/>
          <w:szCs w:val="24"/>
          <w:lang w:val="hy-AM"/>
        </w:rPr>
        <w:t xml:space="preserve"> և</w:t>
      </w:r>
      <w:r w:rsidR="00DD6B83" w:rsidRPr="00286852">
        <w:rPr>
          <w:rFonts w:ascii="GHEA Grapalat" w:hAnsi="GHEA Grapalat"/>
          <w:sz w:val="24"/>
          <w:szCs w:val="24"/>
          <w:lang w:val="hy-AM"/>
        </w:rPr>
        <w:t>՛</w:t>
      </w:r>
      <w:r w:rsidR="00C65763" w:rsidRPr="00286852">
        <w:rPr>
          <w:rFonts w:ascii="GHEA Grapalat" w:hAnsi="GHEA Grapalat"/>
          <w:sz w:val="24"/>
          <w:szCs w:val="24"/>
          <w:lang w:val="hy-AM"/>
        </w:rPr>
        <w:t xml:space="preserve"> տղաներին, ինչպես նաև </w:t>
      </w:r>
      <w:r w:rsidR="00DD6B83" w:rsidRPr="00286852">
        <w:rPr>
          <w:rFonts w:ascii="GHEA Grapalat" w:hAnsi="GHEA Grapalat"/>
          <w:sz w:val="24"/>
          <w:szCs w:val="24"/>
          <w:lang w:val="hy-AM"/>
        </w:rPr>
        <w:t xml:space="preserve"> </w:t>
      </w:r>
      <w:r w:rsidR="00FD29E9" w:rsidRPr="00286852">
        <w:rPr>
          <w:rFonts w:ascii="GHEA Grapalat" w:hAnsi="GHEA Grapalat"/>
          <w:sz w:val="24"/>
          <w:szCs w:val="24"/>
          <w:lang w:val="hy-AM"/>
        </w:rPr>
        <w:t xml:space="preserve">տարբեր </w:t>
      </w:r>
      <w:r w:rsidR="00DD6B83" w:rsidRPr="00286852">
        <w:rPr>
          <w:rFonts w:ascii="GHEA Grapalat" w:hAnsi="GHEA Grapalat"/>
          <w:sz w:val="24"/>
          <w:szCs w:val="24"/>
          <w:lang w:val="hy-AM"/>
        </w:rPr>
        <w:lastRenderedPageBreak/>
        <w:t>տարիքային խմբերի  պատվաստում</w:t>
      </w:r>
      <w:r w:rsidR="00FD29E9" w:rsidRPr="00286852">
        <w:rPr>
          <w:rFonts w:ascii="GHEA Grapalat" w:hAnsi="GHEA Grapalat"/>
          <w:sz w:val="24"/>
          <w:szCs w:val="24"/>
          <w:lang w:val="hy-AM"/>
        </w:rPr>
        <w:t>ները</w:t>
      </w:r>
      <w:r w:rsidR="00DD6B83" w:rsidRPr="00286852">
        <w:rPr>
          <w:rFonts w:ascii="GHEA Grapalat" w:hAnsi="GHEA Grapalat"/>
          <w:sz w:val="24"/>
          <w:szCs w:val="24"/>
          <w:lang w:val="hy-AM"/>
        </w:rPr>
        <w:t xml:space="preserve">: Այս առաջարկությունները քննարկվել </w:t>
      </w:r>
      <w:r w:rsidR="004804B2" w:rsidRPr="00286852">
        <w:rPr>
          <w:rFonts w:ascii="GHEA Grapalat" w:hAnsi="GHEA Grapalat"/>
          <w:sz w:val="24"/>
          <w:szCs w:val="24"/>
          <w:lang w:val="hy-AM"/>
        </w:rPr>
        <w:t>ե</w:t>
      </w:r>
      <w:r w:rsidR="00DD6B83" w:rsidRPr="00286852">
        <w:rPr>
          <w:rFonts w:ascii="GHEA Grapalat" w:hAnsi="GHEA Grapalat"/>
          <w:sz w:val="24"/>
          <w:szCs w:val="24"/>
          <w:lang w:val="hy-AM"/>
        </w:rPr>
        <w:t xml:space="preserve">ն </w:t>
      </w:r>
      <w:r w:rsidR="008B4786" w:rsidRPr="00286852">
        <w:rPr>
          <w:rFonts w:ascii="GHEA Grapalat" w:hAnsi="GHEA Grapalat"/>
          <w:sz w:val="24"/>
          <w:szCs w:val="24"/>
          <w:lang w:val="hy-AM"/>
        </w:rPr>
        <w:t xml:space="preserve">Իմունականխարգելման </w:t>
      </w:r>
      <w:r w:rsidR="007313A5" w:rsidRPr="00286852">
        <w:rPr>
          <w:rFonts w:ascii="GHEA Grapalat" w:hAnsi="GHEA Grapalat"/>
          <w:sz w:val="24"/>
          <w:szCs w:val="24"/>
          <w:lang w:val="hy-AM"/>
        </w:rPr>
        <w:t xml:space="preserve">հարցերով </w:t>
      </w:r>
      <w:r w:rsidR="008B4786" w:rsidRPr="00286852">
        <w:rPr>
          <w:rFonts w:ascii="GHEA Grapalat" w:hAnsi="GHEA Grapalat"/>
          <w:sz w:val="24"/>
          <w:szCs w:val="24"/>
          <w:lang w:val="hy-AM"/>
        </w:rPr>
        <w:t>ռ</w:t>
      </w:r>
      <w:r w:rsidR="00FD29E9" w:rsidRPr="00286852">
        <w:rPr>
          <w:rFonts w:ascii="GHEA Grapalat" w:hAnsi="GHEA Grapalat"/>
          <w:sz w:val="24"/>
          <w:szCs w:val="24"/>
          <w:lang w:val="hy-AM"/>
        </w:rPr>
        <w:t xml:space="preserve">ազմավարական խորհրդատվական փորձագետների </w:t>
      </w:r>
      <w:r w:rsidR="008B4786" w:rsidRPr="00286852">
        <w:rPr>
          <w:rFonts w:ascii="GHEA Grapalat" w:hAnsi="GHEA Grapalat"/>
          <w:sz w:val="24"/>
          <w:szCs w:val="24"/>
          <w:lang w:val="hy-AM"/>
        </w:rPr>
        <w:t xml:space="preserve">խմբի </w:t>
      </w:r>
      <w:r w:rsidR="00FD29E9" w:rsidRPr="00286852">
        <w:rPr>
          <w:rFonts w:ascii="GHEA Grapalat" w:hAnsi="GHEA Grapalat"/>
          <w:sz w:val="24"/>
          <w:szCs w:val="24"/>
          <w:lang w:val="hy-AM"/>
        </w:rPr>
        <w:t xml:space="preserve">(SAGE) </w:t>
      </w:r>
      <w:r w:rsidR="00DD6B83" w:rsidRPr="00286852">
        <w:rPr>
          <w:rFonts w:ascii="GHEA Grapalat" w:hAnsi="GHEA Grapalat"/>
          <w:sz w:val="24"/>
          <w:szCs w:val="24"/>
          <w:lang w:val="hy-AM"/>
        </w:rPr>
        <w:t xml:space="preserve">կողմից 2016թ. հոկտեմբերին: </w:t>
      </w:r>
      <w:r w:rsidR="008B4786" w:rsidRPr="00286852">
        <w:rPr>
          <w:rFonts w:ascii="GHEA Grapalat" w:hAnsi="GHEA Grapalat"/>
          <w:sz w:val="24"/>
          <w:szCs w:val="24"/>
          <w:lang w:val="hy-AM"/>
        </w:rPr>
        <w:t>Իմունականխարգելման</w:t>
      </w:r>
      <w:r w:rsidR="007313A5" w:rsidRPr="00286852">
        <w:rPr>
          <w:rFonts w:ascii="GHEA Grapalat" w:hAnsi="GHEA Grapalat"/>
          <w:sz w:val="24"/>
          <w:szCs w:val="24"/>
          <w:lang w:val="hy-AM"/>
        </w:rPr>
        <w:t xml:space="preserve"> հարցերով </w:t>
      </w:r>
      <w:r w:rsidR="008B4786" w:rsidRPr="00286852">
        <w:rPr>
          <w:rFonts w:ascii="GHEA Grapalat" w:hAnsi="GHEA Grapalat"/>
          <w:sz w:val="24"/>
          <w:szCs w:val="24"/>
          <w:lang w:val="hy-AM"/>
        </w:rPr>
        <w:t xml:space="preserve">ռազմավարական խորհրդատվական փորձագետների խմբի </w:t>
      </w:r>
      <w:r w:rsidR="00FD29E9" w:rsidRPr="00286852">
        <w:rPr>
          <w:rFonts w:ascii="GHEA Grapalat" w:hAnsi="GHEA Grapalat"/>
          <w:sz w:val="24"/>
          <w:szCs w:val="24"/>
          <w:lang w:val="hy-AM"/>
        </w:rPr>
        <w:t>(SAGE)</w:t>
      </w:r>
      <w:r w:rsidR="00DD6B83" w:rsidRPr="00286852">
        <w:rPr>
          <w:rFonts w:ascii="GHEA Grapalat" w:hAnsi="GHEA Grapalat"/>
          <w:sz w:val="24"/>
          <w:szCs w:val="24"/>
          <w:lang w:val="hy-AM"/>
        </w:rPr>
        <w:t xml:space="preserve"> ժողովում ներկայացված փաստերին  կարելի է ծանոթանալ հետևյալ </w:t>
      </w:r>
      <w:r w:rsidR="004D450F" w:rsidRPr="00286852">
        <w:rPr>
          <w:rFonts w:ascii="GHEA Grapalat" w:hAnsi="GHEA Grapalat"/>
          <w:sz w:val="24"/>
          <w:szCs w:val="24"/>
          <w:lang w:val="hy-AM"/>
        </w:rPr>
        <w:t>հղմամբ</w:t>
      </w:r>
      <w:r w:rsidR="00DD6B83" w:rsidRPr="00286852">
        <w:rPr>
          <w:rFonts w:ascii="GHEA Grapalat" w:hAnsi="GHEA Grapalat"/>
          <w:sz w:val="24"/>
          <w:szCs w:val="24"/>
          <w:lang w:val="hy-AM"/>
        </w:rPr>
        <w:t xml:space="preserve">. </w:t>
      </w:r>
      <w:r w:rsidR="006519C1" w:rsidRPr="00286852">
        <w:rPr>
          <w:rFonts w:ascii="GHEA Grapalat" w:hAnsi="GHEA Grapalat"/>
          <w:sz w:val="24"/>
          <w:szCs w:val="24"/>
          <w:lang w:val="hy-AM"/>
        </w:rPr>
        <w:t>http://www.who.int/immunization/ sage/meetings/2016/october/en/</w:t>
      </w:r>
      <w:r w:rsidR="00066B8A" w:rsidRPr="00286852">
        <w:rPr>
          <w:rFonts w:ascii="GHEA Grapalat" w:hAnsi="GHEA Grapalat"/>
          <w:sz w:val="24"/>
          <w:szCs w:val="24"/>
          <w:lang w:val="hy-AM"/>
        </w:rPr>
        <w:t>:</w:t>
      </w:r>
    </w:p>
    <w:p w:rsidR="006519C1" w:rsidRPr="00286852" w:rsidRDefault="00066B8A" w:rsidP="000711A4">
      <w:pPr>
        <w:spacing w:line="360" w:lineRule="auto"/>
        <w:ind w:firstLine="720"/>
        <w:jc w:val="both"/>
        <w:rPr>
          <w:rFonts w:ascii="GHEA Grapalat" w:hAnsi="GHEA Grapalat"/>
          <w:b/>
          <w:sz w:val="24"/>
          <w:szCs w:val="24"/>
          <w:lang w:val="hy-AM"/>
        </w:rPr>
      </w:pPr>
      <w:r w:rsidRPr="00286852">
        <w:rPr>
          <w:rFonts w:ascii="GHEA Grapalat" w:hAnsi="GHEA Grapalat"/>
          <w:b/>
          <w:sz w:val="24"/>
          <w:szCs w:val="24"/>
          <w:lang w:val="hy-AM"/>
        </w:rPr>
        <w:t>Նախաբան</w:t>
      </w:r>
    </w:p>
    <w:p w:rsidR="005412A2" w:rsidRPr="00286852" w:rsidRDefault="00066B8A" w:rsidP="000711A4">
      <w:pPr>
        <w:spacing w:line="360" w:lineRule="auto"/>
        <w:ind w:firstLine="720"/>
        <w:jc w:val="both"/>
        <w:rPr>
          <w:rFonts w:ascii="GHEA Grapalat" w:hAnsi="GHEA Grapalat"/>
          <w:sz w:val="24"/>
          <w:szCs w:val="24"/>
          <w:lang w:val="hy-AM"/>
        </w:rPr>
      </w:pPr>
      <w:r w:rsidRPr="00286852">
        <w:rPr>
          <w:rFonts w:ascii="GHEA Grapalat" w:hAnsi="GHEA Grapalat"/>
          <w:sz w:val="24"/>
          <w:szCs w:val="24"/>
          <w:lang w:val="hy-AM"/>
        </w:rPr>
        <w:t>ՄՊՎ-</w:t>
      </w:r>
      <w:r w:rsidR="0047517E" w:rsidRPr="00286852">
        <w:rPr>
          <w:rFonts w:ascii="GHEA Grapalat" w:hAnsi="GHEA Grapalat"/>
          <w:sz w:val="24"/>
          <w:szCs w:val="24"/>
          <w:lang w:val="hy-AM"/>
        </w:rPr>
        <w:t>ն</w:t>
      </w:r>
      <w:r w:rsidRPr="00286852">
        <w:rPr>
          <w:rFonts w:ascii="GHEA Grapalat" w:hAnsi="GHEA Grapalat"/>
          <w:sz w:val="24"/>
          <w:szCs w:val="24"/>
          <w:lang w:val="hy-AM"/>
        </w:rPr>
        <w:t xml:space="preserve"> վերարտադրողական համակարգի ամենատարածված վիրուսային վարակ</w:t>
      </w:r>
      <w:r w:rsidR="00955324" w:rsidRPr="00286852">
        <w:rPr>
          <w:rFonts w:ascii="GHEA Grapalat" w:hAnsi="GHEA Grapalat"/>
          <w:sz w:val="24"/>
          <w:szCs w:val="24"/>
          <w:lang w:val="hy-AM"/>
        </w:rPr>
        <w:t>ն է</w:t>
      </w:r>
      <w:r w:rsidRPr="00286852">
        <w:rPr>
          <w:rFonts w:ascii="GHEA Grapalat" w:hAnsi="GHEA Grapalat"/>
          <w:sz w:val="24"/>
          <w:szCs w:val="24"/>
          <w:lang w:val="hy-AM"/>
        </w:rPr>
        <w:t xml:space="preserve"> </w:t>
      </w:r>
      <w:r w:rsidR="00955324" w:rsidRPr="00286852">
        <w:rPr>
          <w:rFonts w:ascii="GHEA Grapalat" w:hAnsi="GHEA Grapalat"/>
          <w:sz w:val="24"/>
          <w:szCs w:val="24"/>
          <w:lang w:val="hy-AM"/>
        </w:rPr>
        <w:t>և կարող է տղամարդկանց և կանանց շրջանում առաջա</w:t>
      </w:r>
      <w:r w:rsidR="005412A2" w:rsidRPr="00286852">
        <w:rPr>
          <w:rFonts w:ascii="GHEA Grapalat" w:hAnsi="GHEA Grapalat"/>
          <w:sz w:val="24"/>
          <w:szCs w:val="24"/>
          <w:lang w:val="hy-AM"/>
        </w:rPr>
        <w:t>ց</w:t>
      </w:r>
      <w:r w:rsidR="00955324" w:rsidRPr="00286852">
        <w:rPr>
          <w:rFonts w:ascii="GHEA Grapalat" w:hAnsi="GHEA Grapalat"/>
          <w:sz w:val="24"/>
          <w:szCs w:val="24"/>
          <w:lang w:val="hy-AM"/>
        </w:rPr>
        <w:t xml:space="preserve">նել   նախաքաղցկեղային վիճակ, որը հետագայում կարող է </w:t>
      </w:r>
      <w:r w:rsidR="003F72D3" w:rsidRPr="00286852">
        <w:rPr>
          <w:rFonts w:ascii="GHEA Grapalat" w:hAnsi="GHEA Grapalat"/>
          <w:sz w:val="24"/>
          <w:szCs w:val="24"/>
          <w:lang w:val="hy-AM"/>
        </w:rPr>
        <w:t>վերած</w:t>
      </w:r>
      <w:r w:rsidR="00955324" w:rsidRPr="00286852">
        <w:rPr>
          <w:rFonts w:ascii="GHEA Grapalat" w:hAnsi="GHEA Grapalat"/>
          <w:sz w:val="24"/>
          <w:szCs w:val="24"/>
          <w:lang w:val="hy-AM"/>
        </w:rPr>
        <w:t>վել քաղցկեղի:</w:t>
      </w:r>
      <w:r w:rsidR="00E06BC0" w:rsidRPr="00286852">
        <w:rPr>
          <w:rFonts w:ascii="GHEA Grapalat" w:hAnsi="GHEA Grapalat"/>
          <w:sz w:val="24"/>
          <w:szCs w:val="24"/>
          <w:lang w:val="hy-AM"/>
        </w:rPr>
        <w:t xml:space="preserve"> Չնայած ՄՊՎ</w:t>
      </w:r>
      <w:r w:rsidR="005412A2" w:rsidRPr="00286852">
        <w:rPr>
          <w:rFonts w:ascii="GHEA Grapalat" w:hAnsi="GHEA Grapalat"/>
          <w:sz w:val="24"/>
          <w:szCs w:val="24"/>
          <w:lang w:val="hy-AM"/>
        </w:rPr>
        <w:t xml:space="preserve">-ով </w:t>
      </w:r>
      <w:r w:rsidR="00E06BC0" w:rsidRPr="00286852">
        <w:rPr>
          <w:rFonts w:ascii="GHEA Grapalat" w:hAnsi="GHEA Grapalat"/>
          <w:sz w:val="24"/>
          <w:szCs w:val="24"/>
          <w:lang w:val="hy-AM"/>
        </w:rPr>
        <w:t xml:space="preserve"> </w:t>
      </w:r>
      <w:r w:rsidR="005412A2" w:rsidRPr="00286852">
        <w:rPr>
          <w:rFonts w:ascii="GHEA Grapalat" w:hAnsi="GHEA Grapalat"/>
          <w:sz w:val="24"/>
          <w:szCs w:val="24"/>
          <w:lang w:val="hy-AM"/>
        </w:rPr>
        <w:t>պայամանավորված դեպքերի մեծ մաս</w:t>
      </w:r>
      <w:r w:rsidR="0047517E" w:rsidRPr="00286852">
        <w:rPr>
          <w:rFonts w:ascii="GHEA Grapalat" w:hAnsi="GHEA Grapalat"/>
          <w:sz w:val="24"/>
          <w:szCs w:val="24"/>
          <w:lang w:val="hy-AM"/>
        </w:rPr>
        <w:t>ն</w:t>
      </w:r>
      <w:r w:rsidR="005412A2" w:rsidRPr="00286852">
        <w:rPr>
          <w:rFonts w:ascii="GHEA Grapalat" w:hAnsi="GHEA Grapalat"/>
          <w:sz w:val="24"/>
          <w:szCs w:val="24"/>
          <w:lang w:val="hy-AM"/>
        </w:rPr>
        <w:t xml:space="preserve"> ընթանում է առանց ախտանշանների</w:t>
      </w:r>
      <w:r w:rsidR="00E06BC0" w:rsidRPr="00286852">
        <w:rPr>
          <w:rFonts w:ascii="GHEA Grapalat" w:hAnsi="GHEA Grapalat"/>
          <w:sz w:val="24"/>
          <w:szCs w:val="24"/>
          <w:lang w:val="hy-AM"/>
        </w:rPr>
        <w:t xml:space="preserve"> և </w:t>
      </w:r>
      <w:r w:rsidR="0047517E" w:rsidRPr="00286852">
        <w:rPr>
          <w:rFonts w:ascii="GHEA Grapalat" w:hAnsi="GHEA Grapalat"/>
          <w:sz w:val="24"/>
          <w:szCs w:val="24"/>
          <w:lang w:val="hy-AM"/>
        </w:rPr>
        <w:t>վարակը կարող է ինքնուրույն անհետանալ</w:t>
      </w:r>
      <w:r w:rsidR="005412A2" w:rsidRPr="00286852">
        <w:rPr>
          <w:rFonts w:ascii="GHEA Grapalat" w:hAnsi="GHEA Grapalat"/>
          <w:sz w:val="24"/>
          <w:szCs w:val="24"/>
          <w:lang w:val="hy-AM"/>
        </w:rPr>
        <w:t xml:space="preserve">,  </w:t>
      </w:r>
      <w:r w:rsidR="00E06BC0" w:rsidRPr="00286852">
        <w:rPr>
          <w:rFonts w:ascii="GHEA Grapalat" w:hAnsi="GHEA Grapalat"/>
          <w:sz w:val="24"/>
          <w:szCs w:val="24"/>
          <w:lang w:val="hy-AM"/>
        </w:rPr>
        <w:t xml:space="preserve"> </w:t>
      </w:r>
      <w:r w:rsidR="005412A2" w:rsidRPr="00286852">
        <w:rPr>
          <w:rFonts w:ascii="GHEA Grapalat" w:hAnsi="GHEA Grapalat"/>
          <w:sz w:val="24"/>
          <w:szCs w:val="24"/>
          <w:lang w:val="hy-AM"/>
        </w:rPr>
        <w:t>ՄՊՎ-ի</w:t>
      </w:r>
      <w:r w:rsidR="00E06BC0" w:rsidRPr="00286852">
        <w:rPr>
          <w:rFonts w:ascii="GHEA Grapalat" w:hAnsi="GHEA Grapalat"/>
          <w:sz w:val="24"/>
          <w:szCs w:val="24"/>
          <w:lang w:val="hy-AM"/>
        </w:rPr>
        <w:t xml:space="preserve"> </w:t>
      </w:r>
      <w:r w:rsidR="005412A2" w:rsidRPr="00286852">
        <w:rPr>
          <w:rFonts w:ascii="GHEA Grapalat" w:hAnsi="GHEA Grapalat"/>
          <w:sz w:val="24"/>
          <w:szCs w:val="24"/>
          <w:lang w:val="hy-AM"/>
        </w:rPr>
        <w:t xml:space="preserve">մշտական առկայությունը  կարող է </w:t>
      </w:r>
      <w:r w:rsidR="00E45F07" w:rsidRPr="00286852">
        <w:rPr>
          <w:rFonts w:ascii="GHEA Grapalat" w:hAnsi="GHEA Grapalat"/>
          <w:sz w:val="24"/>
          <w:szCs w:val="24"/>
          <w:lang w:val="hy-AM"/>
        </w:rPr>
        <w:t>առաջա</w:t>
      </w:r>
      <w:r w:rsidR="005412A2" w:rsidRPr="00286852">
        <w:rPr>
          <w:rFonts w:ascii="GHEA Grapalat" w:hAnsi="GHEA Grapalat"/>
          <w:sz w:val="24"/>
          <w:szCs w:val="24"/>
          <w:lang w:val="hy-AM"/>
        </w:rPr>
        <w:t>ցնել հիվանդության:</w:t>
      </w:r>
    </w:p>
    <w:p w:rsidR="005412A2" w:rsidRPr="00286852" w:rsidRDefault="005412A2" w:rsidP="000711A4">
      <w:pPr>
        <w:spacing w:line="360" w:lineRule="auto"/>
        <w:ind w:firstLine="720"/>
        <w:jc w:val="both"/>
        <w:rPr>
          <w:rFonts w:ascii="GHEA Grapalat" w:hAnsi="GHEA Grapalat"/>
          <w:sz w:val="24"/>
          <w:szCs w:val="24"/>
          <w:lang w:val="hy-AM"/>
        </w:rPr>
      </w:pPr>
      <w:r w:rsidRPr="00286852">
        <w:rPr>
          <w:rFonts w:ascii="GHEA Grapalat" w:hAnsi="GHEA Grapalat"/>
          <w:sz w:val="24"/>
          <w:szCs w:val="24"/>
          <w:lang w:val="hy-AM"/>
        </w:rPr>
        <w:t xml:space="preserve">Կանանց շրջանում, </w:t>
      </w:r>
      <w:r w:rsidR="00D22312" w:rsidRPr="00286852">
        <w:rPr>
          <w:rFonts w:ascii="GHEA Grapalat" w:hAnsi="GHEA Grapalat"/>
          <w:sz w:val="24"/>
          <w:szCs w:val="24"/>
          <w:lang w:val="hy-AM"/>
        </w:rPr>
        <w:t>ՄՊՎ-ի որոշ</w:t>
      </w:r>
      <w:r w:rsidRPr="00286852">
        <w:rPr>
          <w:rFonts w:ascii="GHEA Grapalat" w:hAnsi="GHEA Grapalat"/>
          <w:sz w:val="24"/>
          <w:szCs w:val="24"/>
          <w:lang w:val="hy-AM"/>
        </w:rPr>
        <w:t xml:space="preserve"> </w:t>
      </w:r>
      <w:r w:rsidR="005F580B" w:rsidRPr="00286852">
        <w:rPr>
          <w:rFonts w:ascii="GHEA Grapalat" w:hAnsi="GHEA Grapalat"/>
          <w:sz w:val="24"/>
          <w:szCs w:val="24"/>
          <w:lang w:val="hy-AM"/>
        </w:rPr>
        <w:t>շճատիպերի</w:t>
      </w:r>
      <w:r w:rsidR="00D22312" w:rsidRPr="00286852">
        <w:rPr>
          <w:rFonts w:ascii="GHEA Grapalat" w:hAnsi="GHEA Grapalat"/>
          <w:sz w:val="24"/>
          <w:szCs w:val="24"/>
          <w:lang w:val="hy-AM"/>
        </w:rPr>
        <w:t xml:space="preserve"> մշտական </w:t>
      </w:r>
      <w:r w:rsidR="005F580B" w:rsidRPr="00286852">
        <w:rPr>
          <w:rFonts w:ascii="GHEA Grapalat" w:hAnsi="GHEA Grapalat"/>
          <w:sz w:val="24"/>
          <w:szCs w:val="24"/>
          <w:lang w:val="hy-AM"/>
        </w:rPr>
        <w:t>առկայությունը</w:t>
      </w:r>
      <w:r w:rsidRPr="00286852">
        <w:rPr>
          <w:rFonts w:ascii="GHEA Grapalat" w:hAnsi="GHEA Grapalat"/>
          <w:sz w:val="24"/>
          <w:szCs w:val="24"/>
          <w:lang w:val="hy-AM"/>
        </w:rPr>
        <w:t xml:space="preserve"> (առավել հաճախ </w:t>
      </w:r>
      <w:r w:rsidR="00D22312" w:rsidRPr="00286852">
        <w:rPr>
          <w:rFonts w:ascii="GHEA Grapalat" w:hAnsi="GHEA Grapalat"/>
          <w:sz w:val="24"/>
          <w:szCs w:val="24"/>
          <w:lang w:val="hy-AM"/>
        </w:rPr>
        <w:t>ՄՊՎ</w:t>
      </w:r>
      <w:r w:rsidRPr="00286852">
        <w:rPr>
          <w:rFonts w:ascii="GHEA Grapalat" w:hAnsi="GHEA Grapalat"/>
          <w:sz w:val="24"/>
          <w:szCs w:val="24"/>
          <w:lang w:val="hy-AM"/>
        </w:rPr>
        <w:t>-16</w:t>
      </w:r>
      <w:r w:rsidR="00D22312" w:rsidRPr="00286852">
        <w:rPr>
          <w:rFonts w:ascii="GHEA Grapalat" w:hAnsi="GHEA Grapalat"/>
          <w:sz w:val="24"/>
          <w:szCs w:val="24"/>
          <w:lang w:val="hy-AM"/>
        </w:rPr>
        <w:t xml:space="preserve"> և</w:t>
      </w:r>
      <w:r w:rsidRPr="00286852">
        <w:rPr>
          <w:rFonts w:ascii="GHEA Grapalat" w:hAnsi="GHEA Grapalat"/>
          <w:sz w:val="24"/>
          <w:szCs w:val="24"/>
          <w:lang w:val="hy-AM"/>
        </w:rPr>
        <w:t xml:space="preserve"> </w:t>
      </w:r>
      <w:r w:rsidR="00D22312" w:rsidRPr="00286852">
        <w:rPr>
          <w:rFonts w:ascii="GHEA Grapalat" w:hAnsi="GHEA Grapalat"/>
          <w:sz w:val="24"/>
          <w:szCs w:val="24"/>
          <w:lang w:val="hy-AM"/>
        </w:rPr>
        <w:t>ՄՊՎ</w:t>
      </w:r>
      <w:r w:rsidRPr="00286852">
        <w:rPr>
          <w:rFonts w:ascii="GHEA Grapalat" w:hAnsi="GHEA Grapalat"/>
          <w:sz w:val="24"/>
          <w:szCs w:val="24"/>
          <w:lang w:val="hy-AM"/>
        </w:rPr>
        <w:t xml:space="preserve">-18) կարող է առաջացնել </w:t>
      </w:r>
      <w:r w:rsidR="0066178F" w:rsidRPr="00286852">
        <w:rPr>
          <w:rFonts w:ascii="GHEA Grapalat" w:hAnsi="GHEA Grapalat"/>
          <w:sz w:val="24"/>
          <w:szCs w:val="24"/>
          <w:lang w:val="hy-AM"/>
        </w:rPr>
        <w:lastRenderedPageBreak/>
        <w:t>նախաքաղցկեղային վիճակ</w:t>
      </w:r>
      <w:r w:rsidRPr="00286852">
        <w:rPr>
          <w:rFonts w:ascii="GHEA Grapalat" w:hAnsi="GHEA Grapalat"/>
          <w:sz w:val="24"/>
          <w:szCs w:val="24"/>
          <w:lang w:val="hy-AM"/>
        </w:rPr>
        <w:t>, որ</w:t>
      </w:r>
      <w:r w:rsidR="0066178F" w:rsidRPr="00286852">
        <w:rPr>
          <w:rFonts w:ascii="GHEA Grapalat" w:hAnsi="GHEA Grapalat"/>
          <w:sz w:val="24"/>
          <w:szCs w:val="24"/>
          <w:lang w:val="hy-AM"/>
        </w:rPr>
        <w:t xml:space="preserve">ը չբուժելու դեպքում, կարող է </w:t>
      </w:r>
      <w:r w:rsidR="00CF24B6" w:rsidRPr="00286852">
        <w:rPr>
          <w:rFonts w:ascii="GHEA Grapalat" w:hAnsi="GHEA Grapalat"/>
          <w:sz w:val="24"/>
          <w:szCs w:val="24"/>
          <w:lang w:val="hy-AM"/>
        </w:rPr>
        <w:t>հանգեցնել</w:t>
      </w:r>
      <w:r w:rsidR="0066178F" w:rsidRPr="00286852">
        <w:rPr>
          <w:rFonts w:ascii="GHEA Grapalat" w:hAnsi="GHEA Grapalat"/>
          <w:sz w:val="24"/>
          <w:szCs w:val="24"/>
          <w:lang w:val="hy-AM"/>
        </w:rPr>
        <w:t xml:space="preserve"> </w:t>
      </w:r>
      <w:r w:rsidRPr="00286852">
        <w:rPr>
          <w:rFonts w:ascii="GHEA Grapalat" w:hAnsi="GHEA Grapalat"/>
          <w:sz w:val="24"/>
          <w:szCs w:val="24"/>
          <w:lang w:val="hy-AM"/>
        </w:rPr>
        <w:t xml:space="preserve">արգանդի </w:t>
      </w:r>
      <w:r w:rsidR="005F580B" w:rsidRPr="00286852">
        <w:rPr>
          <w:rFonts w:ascii="GHEA Grapalat" w:hAnsi="GHEA Grapalat"/>
          <w:sz w:val="24"/>
          <w:szCs w:val="24"/>
          <w:lang w:val="hy-AM"/>
        </w:rPr>
        <w:t>պարանոցի</w:t>
      </w:r>
      <w:r w:rsidRPr="00286852">
        <w:rPr>
          <w:rFonts w:ascii="GHEA Grapalat" w:hAnsi="GHEA Grapalat"/>
          <w:sz w:val="24"/>
          <w:szCs w:val="24"/>
          <w:lang w:val="hy-AM"/>
        </w:rPr>
        <w:t xml:space="preserve"> </w:t>
      </w:r>
      <w:r w:rsidR="0066178F" w:rsidRPr="00286852">
        <w:rPr>
          <w:rFonts w:ascii="GHEA Grapalat" w:hAnsi="GHEA Grapalat"/>
          <w:sz w:val="24"/>
          <w:szCs w:val="24"/>
          <w:lang w:val="hy-AM"/>
        </w:rPr>
        <w:t>քաղցկեղ</w:t>
      </w:r>
      <w:r w:rsidR="00CF24B6" w:rsidRPr="00286852">
        <w:rPr>
          <w:rFonts w:ascii="GHEA Grapalat" w:hAnsi="GHEA Grapalat"/>
          <w:sz w:val="24"/>
          <w:szCs w:val="24"/>
          <w:lang w:val="hy-AM"/>
        </w:rPr>
        <w:t>ի</w:t>
      </w:r>
      <w:r w:rsidRPr="00286852">
        <w:rPr>
          <w:rFonts w:ascii="GHEA Grapalat" w:hAnsi="GHEA Grapalat"/>
          <w:sz w:val="24"/>
          <w:szCs w:val="24"/>
          <w:lang w:val="hy-AM"/>
        </w:rPr>
        <w:t>:</w:t>
      </w:r>
      <w:r w:rsidR="00D2291E" w:rsidRPr="00286852">
        <w:rPr>
          <w:rFonts w:ascii="GHEA Grapalat" w:hAnsi="GHEA Grapalat"/>
          <w:sz w:val="24"/>
          <w:szCs w:val="24"/>
          <w:lang w:val="hy-AM"/>
        </w:rPr>
        <w:t xml:space="preserve"> ՄՊՎ-</w:t>
      </w:r>
      <w:r w:rsidR="00CF24B6" w:rsidRPr="00286852">
        <w:rPr>
          <w:rFonts w:ascii="GHEA Grapalat" w:hAnsi="GHEA Grapalat"/>
          <w:sz w:val="24"/>
          <w:szCs w:val="24"/>
          <w:lang w:val="hy-AM"/>
        </w:rPr>
        <w:t>ն</w:t>
      </w:r>
      <w:r w:rsidR="00D2291E" w:rsidRPr="00286852">
        <w:rPr>
          <w:rFonts w:ascii="GHEA Grapalat" w:hAnsi="GHEA Grapalat"/>
          <w:sz w:val="24"/>
          <w:szCs w:val="24"/>
          <w:lang w:val="hy-AM"/>
        </w:rPr>
        <w:t xml:space="preserve">  կապված է նաև </w:t>
      </w:r>
      <w:r w:rsidR="00D02A7F" w:rsidRPr="00286852">
        <w:rPr>
          <w:rFonts w:ascii="GHEA Grapalat" w:hAnsi="GHEA Grapalat"/>
          <w:sz w:val="24"/>
          <w:szCs w:val="24"/>
          <w:lang w:val="hy-AM"/>
        </w:rPr>
        <w:t xml:space="preserve">բկանցքի և </w:t>
      </w:r>
      <w:r w:rsidR="00221C64" w:rsidRPr="00286852">
        <w:rPr>
          <w:rFonts w:ascii="GHEA Grapalat" w:hAnsi="GHEA Grapalat"/>
          <w:sz w:val="24"/>
          <w:szCs w:val="24"/>
          <w:lang w:val="hy-AM"/>
        </w:rPr>
        <w:t>անոգենիտալ քաղցկեղի հետ՝</w:t>
      </w:r>
      <w:r w:rsidR="00D02A7F" w:rsidRPr="00286852">
        <w:rPr>
          <w:rFonts w:ascii="GHEA Grapalat" w:hAnsi="GHEA Grapalat"/>
          <w:sz w:val="24"/>
          <w:szCs w:val="24"/>
          <w:lang w:val="hy-AM"/>
        </w:rPr>
        <w:t xml:space="preserve"> </w:t>
      </w:r>
      <w:r w:rsidR="00D2291E" w:rsidRPr="00286852">
        <w:rPr>
          <w:rFonts w:ascii="GHEA Grapalat" w:hAnsi="GHEA Grapalat"/>
          <w:sz w:val="24"/>
          <w:szCs w:val="24"/>
          <w:lang w:val="hy-AM"/>
        </w:rPr>
        <w:t>տղամարդկանց և կանանց շրջանում</w:t>
      </w:r>
      <w:r w:rsidR="00221C64" w:rsidRPr="00286852">
        <w:rPr>
          <w:rFonts w:ascii="GHEA Grapalat" w:hAnsi="GHEA Grapalat"/>
          <w:sz w:val="24"/>
          <w:szCs w:val="24"/>
          <w:lang w:val="hy-AM"/>
        </w:rPr>
        <w:t xml:space="preserve">։ </w:t>
      </w:r>
    </w:p>
    <w:p w:rsidR="00E32474" w:rsidRPr="00286852" w:rsidRDefault="00E32474" w:rsidP="00584C06">
      <w:pPr>
        <w:spacing w:line="360" w:lineRule="auto"/>
        <w:jc w:val="both"/>
        <w:rPr>
          <w:rFonts w:ascii="GHEA Grapalat" w:hAnsi="GHEA Grapalat"/>
          <w:b/>
          <w:sz w:val="24"/>
          <w:szCs w:val="24"/>
          <w:lang w:val="hy-AM"/>
        </w:rPr>
      </w:pPr>
      <w:r w:rsidRPr="00286852">
        <w:rPr>
          <w:rFonts w:ascii="GHEA Grapalat" w:hAnsi="GHEA Grapalat"/>
          <w:b/>
          <w:sz w:val="24"/>
          <w:szCs w:val="24"/>
          <w:lang w:val="hy-AM"/>
        </w:rPr>
        <w:t>ՄՊՎ</w:t>
      </w:r>
      <w:r w:rsidR="00DF3244" w:rsidRPr="00286852">
        <w:rPr>
          <w:rFonts w:ascii="GHEA Grapalat" w:hAnsi="GHEA Grapalat"/>
          <w:b/>
          <w:sz w:val="24"/>
          <w:szCs w:val="24"/>
          <w:lang w:val="hy-AM"/>
        </w:rPr>
        <w:t>-ի</w:t>
      </w:r>
      <w:r w:rsidRPr="00286852">
        <w:rPr>
          <w:rFonts w:ascii="GHEA Grapalat" w:hAnsi="GHEA Grapalat"/>
          <w:b/>
          <w:sz w:val="24"/>
          <w:szCs w:val="24"/>
          <w:lang w:val="hy-AM"/>
        </w:rPr>
        <w:t xml:space="preserve"> և </w:t>
      </w:r>
      <w:r w:rsidR="00DF3244" w:rsidRPr="00286852">
        <w:rPr>
          <w:rFonts w:ascii="GHEA Grapalat" w:hAnsi="GHEA Grapalat"/>
          <w:b/>
          <w:sz w:val="24"/>
          <w:szCs w:val="24"/>
          <w:lang w:val="hy-AM"/>
        </w:rPr>
        <w:t>ՄՊ</w:t>
      </w:r>
      <w:r w:rsidRPr="00286852">
        <w:rPr>
          <w:rFonts w:ascii="GHEA Grapalat" w:hAnsi="GHEA Grapalat"/>
          <w:b/>
          <w:sz w:val="24"/>
          <w:szCs w:val="24"/>
          <w:lang w:val="hy-AM"/>
        </w:rPr>
        <w:t>Վ-ի հետ</w:t>
      </w:r>
      <w:r w:rsidR="00DF3244" w:rsidRPr="00286852">
        <w:rPr>
          <w:rFonts w:ascii="GHEA Grapalat" w:hAnsi="GHEA Grapalat"/>
          <w:b/>
          <w:sz w:val="24"/>
          <w:szCs w:val="24"/>
          <w:lang w:val="hy-AM"/>
        </w:rPr>
        <w:t xml:space="preserve">ևանքով առաջացող </w:t>
      </w:r>
      <w:r w:rsidRPr="00286852">
        <w:rPr>
          <w:rFonts w:ascii="GHEA Grapalat" w:hAnsi="GHEA Grapalat"/>
          <w:b/>
          <w:sz w:val="24"/>
          <w:szCs w:val="24"/>
          <w:lang w:val="hy-AM"/>
        </w:rPr>
        <w:t>հիվանդությունների համաճարակաբանությունը</w:t>
      </w:r>
    </w:p>
    <w:p w:rsidR="00DF3244" w:rsidRPr="00286852" w:rsidRDefault="0034014E" w:rsidP="00584C06">
      <w:pPr>
        <w:spacing w:line="360" w:lineRule="auto"/>
        <w:jc w:val="both"/>
        <w:rPr>
          <w:rFonts w:ascii="GHEA Grapalat" w:hAnsi="GHEA Grapalat"/>
          <w:i/>
          <w:sz w:val="24"/>
          <w:szCs w:val="24"/>
          <w:lang w:val="hy-AM"/>
        </w:rPr>
      </w:pPr>
      <w:r w:rsidRPr="00286852">
        <w:rPr>
          <w:rFonts w:ascii="GHEA Grapalat" w:hAnsi="GHEA Grapalat"/>
          <w:i/>
          <w:sz w:val="24"/>
          <w:szCs w:val="24"/>
          <w:lang w:val="hy-AM"/>
        </w:rPr>
        <w:t xml:space="preserve">ՄՊՎ-ի  տարածվածությունը արգանդի </w:t>
      </w:r>
      <w:r w:rsidR="00DF3244" w:rsidRPr="00286852">
        <w:rPr>
          <w:rFonts w:ascii="GHEA Grapalat" w:hAnsi="GHEA Grapalat"/>
          <w:i/>
          <w:sz w:val="24"/>
          <w:szCs w:val="24"/>
          <w:lang w:val="hy-AM"/>
        </w:rPr>
        <w:t>պար</w:t>
      </w:r>
      <w:r w:rsidR="00E45F07" w:rsidRPr="00286852">
        <w:rPr>
          <w:rFonts w:ascii="GHEA Grapalat" w:hAnsi="GHEA Grapalat"/>
          <w:i/>
          <w:sz w:val="24"/>
          <w:szCs w:val="24"/>
          <w:lang w:val="hy-AM"/>
        </w:rPr>
        <w:t>ա</w:t>
      </w:r>
      <w:r w:rsidR="00DF3244" w:rsidRPr="00286852">
        <w:rPr>
          <w:rFonts w:ascii="GHEA Grapalat" w:hAnsi="GHEA Grapalat"/>
          <w:i/>
          <w:sz w:val="24"/>
          <w:szCs w:val="24"/>
          <w:lang w:val="hy-AM"/>
        </w:rPr>
        <w:t>ն</w:t>
      </w:r>
      <w:r w:rsidR="00E45F07" w:rsidRPr="00286852">
        <w:rPr>
          <w:rFonts w:ascii="GHEA Grapalat" w:hAnsi="GHEA Grapalat"/>
          <w:i/>
          <w:sz w:val="24"/>
          <w:szCs w:val="24"/>
          <w:lang w:val="hy-AM"/>
        </w:rPr>
        <w:t>ո</w:t>
      </w:r>
      <w:r w:rsidR="00DF3244" w:rsidRPr="00286852">
        <w:rPr>
          <w:rFonts w:ascii="GHEA Grapalat" w:hAnsi="GHEA Grapalat"/>
          <w:i/>
          <w:sz w:val="24"/>
          <w:szCs w:val="24"/>
          <w:lang w:val="hy-AM"/>
        </w:rPr>
        <w:t xml:space="preserve">ցի </w:t>
      </w:r>
      <w:r w:rsidRPr="00286852">
        <w:rPr>
          <w:rFonts w:ascii="GHEA Grapalat" w:hAnsi="GHEA Grapalat"/>
          <w:i/>
          <w:sz w:val="24"/>
          <w:szCs w:val="24"/>
          <w:lang w:val="hy-AM"/>
        </w:rPr>
        <w:t>նմուշներում</w:t>
      </w:r>
    </w:p>
    <w:p w:rsidR="000867C5" w:rsidRPr="00286852" w:rsidRDefault="0034014E" w:rsidP="00584C06">
      <w:pPr>
        <w:spacing w:line="360" w:lineRule="auto"/>
        <w:jc w:val="both"/>
        <w:rPr>
          <w:rFonts w:ascii="GHEA Grapalat" w:hAnsi="GHEA Grapalat"/>
          <w:sz w:val="24"/>
          <w:szCs w:val="24"/>
          <w:lang w:val="hy-AM"/>
        </w:rPr>
      </w:pPr>
      <w:r w:rsidRPr="00286852">
        <w:rPr>
          <w:rFonts w:ascii="GHEA Grapalat" w:hAnsi="GHEA Grapalat"/>
          <w:sz w:val="24"/>
          <w:szCs w:val="24"/>
          <w:lang w:val="hy-AM"/>
        </w:rPr>
        <w:t>Մետավերլուծության հիման վրա,</w:t>
      </w:r>
      <w:r w:rsidR="000867C5" w:rsidRPr="00286852">
        <w:rPr>
          <w:rFonts w:ascii="GHEA Grapalat" w:hAnsi="GHEA Grapalat"/>
          <w:sz w:val="24"/>
          <w:szCs w:val="24"/>
          <w:lang w:val="hy-AM"/>
        </w:rPr>
        <w:t xml:space="preserve"> ողջ </w:t>
      </w:r>
      <w:r w:rsidRPr="00286852">
        <w:rPr>
          <w:rFonts w:ascii="GHEA Grapalat" w:hAnsi="GHEA Grapalat"/>
          <w:sz w:val="24"/>
          <w:szCs w:val="24"/>
          <w:lang w:val="hy-AM"/>
        </w:rPr>
        <w:t xml:space="preserve"> աշխարհում </w:t>
      </w:r>
      <w:r w:rsidR="000867C5" w:rsidRPr="00286852">
        <w:rPr>
          <w:rFonts w:ascii="GHEA Grapalat" w:hAnsi="GHEA Grapalat"/>
          <w:sz w:val="24"/>
          <w:szCs w:val="24"/>
          <w:lang w:val="hy-AM"/>
        </w:rPr>
        <w:t>ՄՊՎ</w:t>
      </w:r>
      <w:r w:rsidR="00E45F07" w:rsidRPr="00286852">
        <w:rPr>
          <w:rFonts w:ascii="GHEA Grapalat" w:hAnsi="GHEA Grapalat"/>
          <w:sz w:val="24"/>
          <w:szCs w:val="24"/>
          <w:lang w:val="hy-AM"/>
        </w:rPr>
        <w:t>-ի</w:t>
      </w:r>
      <w:r w:rsidR="000867C5" w:rsidRPr="00286852">
        <w:rPr>
          <w:rFonts w:ascii="GHEA Grapalat" w:hAnsi="GHEA Grapalat"/>
          <w:sz w:val="24"/>
          <w:szCs w:val="24"/>
          <w:lang w:val="hy-AM"/>
        </w:rPr>
        <w:t xml:space="preserve"> տարածվածությունը նորմալ </w:t>
      </w:r>
      <w:r w:rsidRPr="00286852">
        <w:rPr>
          <w:rFonts w:ascii="GHEA Grapalat" w:hAnsi="GHEA Grapalat"/>
          <w:sz w:val="24"/>
          <w:szCs w:val="24"/>
          <w:lang w:val="hy-AM"/>
        </w:rPr>
        <w:t>ցիտոլոգիա</w:t>
      </w:r>
      <w:r w:rsidR="00BE66E5" w:rsidRPr="00286852">
        <w:rPr>
          <w:rFonts w:ascii="GHEA Grapalat" w:hAnsi="GHEA Grapalat"/>
          <w:sz w:val="24"/>
          <w:szCs w:val="24"/>
          <w:lang w:val="hy-AM"/>
        </w:rPr>
        <w:t>յով</w:t>
      </w:r>
      <w:r w:rsidR="000867C5" w:rsidRPr="00286852">
        <w:rPr>
          <w:rFonts w:ascii="GHEA Grapalat" w:hAnsi="GHEA Grapalat"/>
          <w:sz w:val="24"/>
          <w:szCs w:val="24"/>
          <w:lang w:val="hy-AM"/>
        </w:rPr>
        <w:t xml:space="preserve"> </w:t>
      </w:r>
      <w:r w:rsidRPr="00286852">
        <w:rPr>
          <w:rFonts w:ascii="GHEA Grapalat" w:hAnsi="GHEA Grapalat"/>
          <w:sz w:val="24"/>
          <w:szCs w:val="24"/>
          <w:lang w:val="hy-AM"/>
        </w:rPr>
        <w:t xml:space="preserve">կանանց շրջանում </w:t>
      </w:r>
      <w:r w:rsidR="000867C5" w:rsidRPr="00286852">
        <w:rPr>
          <w:rFonts w:ascii="GHEA Grapalat" w:hAnsi="GHEA Grapalat"/>
          <w:sz w:val="24"/>
          <w:szCs w:val="24"/>
          <w:lang w:val="hy-AM"/>
        </w:rPr>
        <w:t xml:space="preserve">կազմում </w:t>
      </w:r>
      <w:r w:rsidR="00BE66E5" w:rsidRPr="00286852">
        <w:rPr>
          <w:rFonts w:ascii="GHEA Grapalat" w:hAnsi="GHEA Grapalat"/>
          <w:sz w:val="24"/>
          <w:szCs w:val="24"/>
          <w:lang w:val="hy-AM"/>
        </w:rPr>
        <w:t>է</w:t>
      </w:r>
      <w:r w:rsidR="000867C5" w:rsidRPr="00286852">
        <w:rPr>
          <w:rFonts w:ascii="GHEA Grapalat" w:hAnsi="GHEA Grapalat"/>
          <w:sz w:val="24"/>
          <w:szCs w:val="24"/>
          <w:lang w:val="hy-AM"/>
        </w:rPr>
        <w:t xml:space="preserve"> </w:t>
      </w:r>
      <w:r w:rsidR="00BE66E5" w:rsidRPr="00286852">
        <w:rPr>
          <w:rFonts w:ascii="GHEA Grapalat" w:hAnsi="GHEA Grapalat"/>
          <w:sz w:val="24"/>
          <w:szCs w:val="24"/>
          <w:lang w:val="hy-AM"/>
        </w:rPr>
        <w:t xml:space="preserve"> 11.7% (95% </w:t>
      </w:r>
      <w:r w:rsidRPr="00286852">
        <w:rPr>
          <w:rFonts w:ascii="GHEA Grapalat" w:hAnsi="GHEA Grapalat"/>
          <w:sz w:val="24"/>
          <w:szCs w:val="24"/>
          <w:lang w:val="hy-AM"/>
        </w:rPr>
        <w:t>վստահության միջակայք</w:t>
      </w:r>
      <w:r w:rsidR="00D77FCA" w:rsidRPr="00286852">
        <w:rPr>
          <w:rFonts w:ascii="GHEA Grapalat" w:hAnsi="GHEA Grapalat"/>
          <w:sz w:val="24"/>
          <w:szCs w:val="24"/>
          <w:lang w:val="hy-AM"/>
        </w:rPr>
        <w:t xml:space="preserve"> (այսուհետ՝ՎՄ</w:t>
      </w:r>
      <w:r w:rsidRPr="00286852">
        <w:rPr>
          <w:rFonts w:ascii="GHEA Grapalat" w:hAnsi="GHEA Grapalat"/>
          <w:sz w:val="24"/>
          <w:szCs w:val="24"/>
          <w:lang w:val="hy-AM"/>
        </w:rPr>
        <w:t>) 11.6-11.7%)</w:t>
      </w:r>
      <w:r w:rsidR="003F770B" w:rsidRPr="00286852">
        <w:rPr>
          <w:rFonts w:ascii="GHEA Grapalat" w:hAnsi="GHEA Grapalat"/>
          <w:sz w:val="24"/>
          <w:szCs w:val="24"/>
          <w:lang w:val="hy-AM"/>
        </w:rPr>
        <w:t>:</w:t>
      </w:r>
      <w:r w:rsidR="003042D5" w:rsidRPr="00286852">
        <w:rPr>
          <w:rFonts w:ascii="GHEA Grapalat" w:hAnsi="GHEA Grapalat"/>
          <w:sz w:val="24"/>
          <w:szCs w:val="24"/>
          <w:lang w:val="hy-AM"/>
        </w:rPr>
        <w:t xml:space="preserve"> </w:t>
      </w:r>
    </w:p>
    <w:p w:rsidR="00D77FCA" w:rsidRPr="00286852" w:rsidRDefault="00D77FCA" w:rsidP="00584C06">
      <w:pPr>
        <w:spacing w:line="360" w:lineRule="auto"/>
        <w:jc w:val="both"/>
        <w:rPr>
          <w:rFonts w:ascii="GHEA Grapalat" w:hAnsi="GHEA Grapalat"/>
          <w:sz w:val="24"/>
          <w:szCs w:val="24"/>
          <w:lang w:val="hy-AM"/>
        </w:rPr>
      </w:pPr>
      <w:r w:rsidRPr="00286852">
        <w:rPr>
          <w:rFonts w:ascii="GHEA Grapalat" w:hAnsi="GHEA Grapalat"/>
          <w:sz w:val="24"/>
          <w:szCs w:val="24"/>
          <w:lang w:val="hy-AM"/>
        </w:rPr>
        <w:t>Ամենաբարձր տարածվածության ցուցանիշը գրացվել է Արևադարձային Աֆրիկայում (24%; 95% ՎՄ: 23.1–25.0%), Լատինական Ամերիկայում և Կարիբյան երկրներում (16.1%; 95% ՎՄ: 15.8–16.4%), Արևելյան Եվրոպայում (14.2%, 95% ՎՄ: 14.1-14.4%) և  հարավ-արևելյան Ասիա</w:t>
      </w:r>
      <w:r w:rsidR="003F770B" w:rsidRPr="00286852">
        <w:rPr>
          <w:rFonts w:ascii="GHEA Grapalat" w:hAnsi="GHEA Grapalat"/>
          <w:sz w:val="24"/>
          <w:szCs w:val="24"/>
          <w:lang w:val="hy-AM"/>
        </w:rPr>
        <w:t>յում</w:t>
      </w:r>
      <w:r w:rsidRPr="00286852">
        <w:rPr>
          <w:rFonts w:ascii="GHEA Grapalat" w:hAnsi="GHEA Grapalat"/>
          <w:sz w:val="24"/>
          <w:szCs w:val="24"/>
          <w:lang w:val="hy-AM"/>
        </w:rPr>
        <w:t xml:space="preserve"> (14%, 95% ՎՄ: 13.0-15.0): Այնուամենայնիվ, </w:t>
      </w:r>
      <w:r w:rsidR="003F770B" w:rsidRPr="00286852">
        <w:rPr>
          <w:rFonts w:ascii="GHEA Grapalat" w:hAnsi="GHEA Grapalat"/>
          <w:sz w:val="24"/>
          <w:szCs w:val="24"/>
          <w:lang w:val="hy-AM"/>
        </w:rPr>
        <w:t xml:space="preserve">արգանդի պարանոցի նմուշներում ՄՊՎ–ի՝ </w:t>
      </w:r>
      <w:r w:rsidRPr="00286852">
        <w:rPr>
          <w:rFonts w:ascii="GHEA Grapalat" w:hAnsi="GHEA Grapalat"/>
          <w:sz w:val="24"/>
          <w:szCs w:val="24"/>
          <w:lang w:val="hy-AM"/>
        </w:rPr>
        <w:t>երկրին բնորոշ տարածվածության ցուցանիշը տատանվում էր  1.6%-ից մինչև 41.9%:</w:t>
      </w:r>
    </w:p>
    <w:p w:rsidR="009F5133" w:rsidRPr="00286852" w:rsidRDefault="002840FD" w:rsidP="00584C06">
      <w:pPr>
        <w:spacing w:line="360" w:lineRule="auto"/>
        <w:jc w:val="both"/>
        <w:rPr>
          <w:rFonts w:ascii="GHEA Grapalat" w:hAnsi="GHEA Grapalat"/>
          <w:i/>
          <w:sz w:val="24"/>
          <w:szCs w:val="24"/>
          <w:lang w:val="hy-AM"/>
        </w:rPr>
      </w:pPr>
      <w:r w:rsidRPr="00286852">
        <w:rPr>
          <w:rFonts w:ascii="GHEA Grapalat" w:hAnsi="GHEA Grapalat"/>
          <w:i/>
          <w:sz w:val="24"/>
          <w:szCs w:val="24"/>
          <w:lang w:val="hy-AM"/>
        </w:rPr>
        <w:t xml:space="preserve">ՄՊՎ </w:t>
      </w:r>
      <w:r w:rsidR="00D83584" w:rsidRPr="00286852">
        <w:rPr>
          <w:rFonts w:ascii="GHEA Grapalat" w:hAnsi="GHEA Grapalat"/>
          <w:i/>
          <w:sz w:val="24"/>
          <w:szCs w:val="24"/>
          <w:lang w:val="hy-AM"/>
        </w:rPr>
        <w:t xml:space="preserve">տարածվածությունն </w:t>
      </w:r>
      <w:r w:rsidR="0067118B" w:rsidRPr="00286852">
        <w:rPr>
          <w:rFonts w:ascii="GHEA Grapalat" w:hAnsi="GHEA Grapalat"/>
          <w:i/>
          <w:sz w:val="24"/>
          <w:szCs w:val="24"/>
          <w:lang w:val="hy-AM"/>
        </w:rPr>
        <w:t>ըստ տարիքային խմբ</w:t>
      </w:r>
      <w:r w:rsidR="009F5133" w:rsidRPr="00286852">
        <w:rPr>
          <w:rFonts w:ascii="GHEA Grapalat" w:hAnsi="GHEA Grapalat"/>
          <w:i/>
          <w:sz w:val="24"/>
          <w:szCs w:val="24"/>
          <w:lang w:val="hy-AM"/>
        </w:rPr>
        <w:t>երի</w:t>
      </w:r>
    </w:p>
    <w:p w:rsidR="002840FD" w:rsidRPr="00286852" w:rsidRDefault="009F5133" w:rsidP="00584C06">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 xml:space="preserve">Տարածվածության առավել բարձր ցուցանիշներ են արձանագրվել երիտասարդների  </w:t>
      </w:r>
      <w:r w:rsidR="0067118B" w:rsidRPr="00286852">
        <w:rPr>
          <w:rFonts w:ascii="GHEA Grapalat" w:hAnsi="GHEA Grapalat"/>
          <w:sz w:val="24"/>
          <w:szCs w:val="24"/>
          <w:lang w:val="hy-AM"/>
        </w:rPr>
        <w:t>(</w:t>
      </w:r>
      <w:r w:rsidR="0067118B" w:rsidRPr="00286852">
        <w:rPr>
          <w:rFonts w:ascii="Courier New" w:hAnsi="Courier New" w:cs="Courier New"/>
          <w:sz w:val="24"/>
          <w:szCs w:val="24"/>
          <w:lang w:val="hy-AM"/>
        </w:rPr>
        <w:t>˂</w:t>
      </w:r>
      <w:r w:rsidR="0067118B" w:rsidRPr="00286852">
        <w:rPr>
          <w:rFonts w:ascii="GHEA Grapalat" w:hAnsi="GHEA Grapalat"/>
          <w:sz w:val="24"/>
          <w:szCs w:val="24"/>
          <w:lang w:val="hy-AM"/>
        </w:rPr>
        <w:t>25 տարեկան)</w:t>
      </w:r>
      <w:r w:rsidRPr="00286852">
        <w:rPr>
          <w:rFonts w:ascii="GHEA Grapalat" w:hAnsi="GHEA Grapalat"/>
          <w:sz w:val="24"/>
          <w:szCs w:val="24"/>
          <w:lang w:val="hy-AM"/>
        </w:rPr>
        <w:t xml:space="preserve"> շրջանում՝ </w:t>
      </w:r>
      <w:r w:rsidR="0067118B" w:rsidRPr="00286852">
        <w:rPr>
          <w:rFonts w:ascii="GHEA Grapalat" w:hAnsi="GHEA Grapalat"/>
          <w:sz w:val="24"/>
          <w:szCs w:val="24"/>
          <w:lang w:val="hy-AM"/>
        </w:rPr>
        <w:t xml:space="preserve"> 21.8% տարածվածության ցուցանիշ</w:t>
      </w:r>
      <w:r w:rsidRPr="00286852">
        <w:rPr>
          <w:rFonts w:ascii="GHEA Grapalat" w:hAnsi="GHEA Grapalat"/>
          <w:sz w:val="24"/>
          <w:szCs w:val="24"/>
          <w:lang w:val="hy-AM"/>
        </w:rPr>
        <w:t xml:space="preserve"> </w:t>
      </w:r>
      <w:r w:rsidR="0067118B" w:rsidRPr="00286852">
        <w:rPr>
          <w:rFonts w:ascii="GHEA Grapalat" w:hAnsi="GHEA Grapalat"/>
          <w:sz w:val="24"/>
          <w:szCs w:val="24"/>
          <w:lang w:val="hy-AM"/>
        </w:rPr>
        <w:t xml:space="preserve">(95% ՎՄ: 21.3–22.3%, կոպիտ հաշվարկ) և 24.0% </w:t>
      </w:r>
      <w:r w:rsidRPr="00286852">
        <w:rPr>
          <w:rFonts w:ascii="GHEA Grapalat" w:hAnsi="GHEA Grapalat"/>
          <w:sz w:val="24"/>
          <w:szCs w:val="24"/>
          <w:lang w:val="hy-AM"/>
        </w:rPr>
        <w:t xml:space="preserve">տարածվածության </w:t>
      </w:r>
      <w:r w:rsidR="0067118B" w:rsidRPr="00286852">
        <w:rPr>
          <w:rFonts w:ascii="GHEA Grapalat" w:hAnsi="GHEA Grapalat"/>
          <w:sz w:val="24"/>
          <w:szCs w:val="24"/>
          <w:lang w:val="hy-AM"/>
        </w:rPr>
        <w:t xml:space="preserve">ցուցանիշ  (95% ՎՄ: 23.5–24.5%, ճշգրտված հաշվարկ), միջին </w:t>
      </w:r>
      <w:r w:rsidRPr="00286852">
        <w:rPr>
          <w:rFonts w:ascii="GHEA Grapalat" w:hAnsi="GHEA Grapalat"/>
          <w:sz w:val="24"/>
          <w:szCs w:val="24"/>
          <w:lang w:val="hy-AM"/>
        </w:rPr>
        <w:t xml:space="preserve">տարիքային խմբում </w:t>
      </w:r>
      <w:r w:rsidR="0067118B" w:rsidRPr="00286852">
        <w:rPr>
          <w:rFonts w:ascii="GHEA Grapalat" w:hAnsi="GHEA Grapalat"/>
          <w:sz w:val="24"/>
          <w:szCs w:val="24"/>
          <w:lang w:val="hy-AM"/>
        </w:rPr>
        <w:t>տարածվածության ցուցանիշ</w:t>
      </w:r>
      <w:r w:rsidRPr="00286852">
        <w:rPr>
          <w:rFonts w:ascii="GHEA Grapalat" w:hAnsi="GHEA Grapalat"/>
          <w:sz w:val="24"/>
          <w:szCs w:val="24"/>
          <w:lang w:val="hy-AM"/>
        </w:rPr>
        <w:t>ն ավելի ցածր է</w:t>
      </w:r>
      <w:r w:rsidR="0067118B" w:rsidRPr="00286852">
        <w:rPr>
          <w:rFonts w:ascii="GHEA Grapalat" w:hAnsi="GHEA Grapalat"/>
          <w:sz w:val="24"/>
          <w:szCs w:val="24"/>
          <w:lang w:val="hy-AM"/>
        </w:rPr>
        <w:t>:</w:t>
      </w:r>
      <w:r w:rsidR="0064544C" w:rsidRPr="00286852">
        <w:rPr>
          <w:rFonts w:ascii="GHEA Grapalat" w:hAnsi="GHEA Grapalat"/>
          <w:sz w:val="24"/>
          <w:szCs w:val="24"/>
          <w:lang w:val="hy-AM"/>
        </w:rPr>
        <w:t xml:space="preserve"> </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Կենտրոնական և Հարավային Ամերիկայում արձանագրվել է  տարածվածության աճ մեծահասակների շրջանում (≥ 45 տարի): Ասիայի և Աֆրիկայի որոշ ցածր եկամուտ ունեցող երկրներում ՄՊՎ տարածվածությունը </w:t>
      </w:r>
      <w:r w:rsidR="0024435A" w:rsidRPr="00286852">
        <w:rPr>
          <w:rFonts w:ascii="GHEA Grapalat" w:hAnsi="GHEA Grapalat"/>
          <w:sz w:val="24"/>
          <w:szCs w:val="24"/>
          <w:lang w:val="hy-AM"/>
        </w:rPr>
        <w:t>գրեթե նույնն է</w:t>
      </w:r>
      <w:r w:rsidRPr="00286852">
        <w:rPr>
          <w:rFonts w:ascii="GHEA Grapalat" w:hAnsi="GHEA Grapalat"/>
          <w:sz w:val="24"/>
          <w:szCs w:val="24"/>
          <w:lang w:val="hy-AM"/>
        </w:rPr>
        <w:t xml:space="preserve"> բոլոր տարիքային խմբերի կանանց </w:t>
      </w:r>
      <w:r w:rsidR="0024435A" w:rsidRPr="00286852">
        <w:rPr>
          <w:rFonts w:ascii="GHEA Grapalat" w:hAnsi="GHEA Grapalat"/>
          <w:sz w:val="24"/>
          <w:szCs w:val="24"/>
          <w:lang w:val="hy-AM"/>
        </w:rPr>
        <w:t>շրջանում</w:t>
      </w:r>
      <w:r w:rsidRPr="00286852">
        <w:rPr>
          <w:rFonts w:ascii="GHEA Grapalat" w:hAnsi="GHEA Grapalat"/>
          <w:sz w:val="24"/>
          <w:szCs w:val="24"/>
          <w:lang w:val="hy-AM"/>
        </w:rPr>
        <w:t xml:space="preserve">: ՄՊՎ-ի 16 և 18 շճատիպերն ամենատարածված տեսակներն են ամբողջ աշխարհում, ՄՊՎ 16 </w:t>
      </w:r>
      <w:r w:rsidR="0024435A" w:rsidRPr="00286852">
        <w:rPr>
          <w:rFonts w:ascii="GHEA Grapalat" w:hAnsi="GHEA Grapalat"/>
          <w:sz w:val="24"/>
          <w:szCs w:val="24"/>
          <w:lang w:val="hy-AM"/>
        </w:rPr>
        <w:t>շճատիպը</w:t>
      </w:r>
      <w:r w:rsidRPr="00286852">
        <w:rPr>
          <w:rFonts w:ascii="GHEA Grapalat" w:hAnsi="GHEA Grapalat"/>
          <w:sz w:val="24"/>
          <w:szCs w:val="24"/>
          <w:lang w:val="hy-AM"/>
        </w:rPr>
        <w:t xml:space="preserve"> ամենատարածված</w:t>
      </w:r>
      <w:r w:rsidR="0024435A" w:rsidRPr="00286852">
        <w:rPr>
          <w:rFonts w:ascii="GHEA Grapalat" w:hAnsi="GHEA Grapalat"/>
          <w:sz w:val="24"/>
          <w:szCs w:val="24"/>
          <w:lang w:val="hy-AM"/>
        </w:rPr>
        <w:t>ն է</w:t>
      </w:r>
      <w:r w:rsidRPr="00286852">
        <w:rPr>
          <w:rFonts w:ascii="GHEA Grapalat" w:hAnsi="GHEA Grapalat"/>
          <w:sz w:val="24"/>
          <w:szCs w:val="24"/>
          <w:lang w:val="hy-AM"/>
        </w:rPr>
        <w:t xml:space="preserve">  բոլոր </w:t>
      </w:r>
      <w:r w:rsidR="0024435A" w:rsidRPr="00286852">
        <w:rPr>
          <w:rFonts w:ascii="GHEA Grapalat" w:hAnsi="GHEA Grapalat"/>
          <w:sz w:val="24"/>
          <w:szCs w:val="24"/>
          <w:lang w:val="hy-AM"/>
        </w:rPr>
        <w:t>տարածա</w:t>
      </w:r>
      <w:r w:rsidRPr="00286852">
        <w:rPr>
          <w:rFonts w:ascii="GHEA Grapalat" w:hAnsi="GHEA Grapalat"/>
          <w:sz w:val="24"/>
          <w:szCs w:val="24"/>
          <w:lang w:val="hy-AM"/>
        </w:rPr>
        <w:t>շրջաններում:</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ՄՊՎ-ի 18 շճատիպը և այլ բարձր ռիսկի շճատիպերը, ինչպիսիք են 31, 39, 51, 52, 56, 58 և 59 շճատիպ</w:t>
      </w:r>
      <w:r w:rsidR="0024435A" w:rsidRPr="00286852">
        <w:rPr>
          <w:rFonts w:ascii="GHEA Grapalat" w:hAnsi="GHEA Grapalat"/>
          <w:sz w:val="24"/>
          <w:szCs w:val="24"/>
          <w:lang w:val="hy-AM"/>
        </w:rPr>
        <w:t>երը</w:t>
      </w:r>
      <w:r w:rsidRPr="00286852">
        <w:rPr>
          <w:rFonts w:ascii="GHEA Grapalat" w:hAnsi="GHEA Grapalat"/>
          <w:sz w:val="24"/>
          <w:szCs w:val="24"/>
          <w:lang w:val="hy-AM"/>
        </w:rPr>
        <w:t>, ունեն նմանատիպ տարածում:</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ՄՊՎ-ի մեկ շճատիպով վարակված կանայք կարող են վարակվել ՄՊՎ-ի այլ շճատիպերով:</w:t>
      </w:r>
    </w:p>
    <w:p w:rsidR="0024435A" w:rsidRPr="00286852" w:rsidRDefault="00F266AA" w:rsidP="00F266AA">
      <w:pPr>
        <w:spacing w:line="360" w:lineRule="auto"/>
        <w:jc w:val="both"/>
        <w:rPr>
          <w:rFonts w:ascii="GHEA Grapalat" w:hAnsi="GHEA Grapalat"/>
          <w:i/>
          <w:sz w:val="24"/>
          <w:szCs w:val="24"/>
          <w:lang w:val="hy-AM"/>
        </w:rPr>
      </w:pPr>
      <w:r w:rsidRPr="00286852">
        <w:rPr>
          <w:rFonts w:ascii="GHEA Grapalat" w:hAnsi="GHEA Grapalat"/>
          <w:i/>
          <w:sz w:val="24"/>
          <w:szCs w:val="24"/>
          <w:lang w:val="hy-AM"/>
        </w:rPr>
        <w:t>ՄՊՎ-ի տարածվածությունը տղամարդկանց շրջանում</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 xml:space="preserve"> &gt;18 տարեկան տղամարդկանց շրջանում  սեռական օրգանների ՄՊՎ-ի տարածվածությ</w:t>
      </w:r>
      <w:r w:rsidR="00FB10C3" w:rsidRPr="00286852">
        <w:rPr>
          <w:rFonts w:ascii="GHEA Grapalat" w:hAnsi="GHEA Grapalat"/>
          <w:sz w:val="24"/>
          <w:szCs w:val="24"/>
          <w:lang w:val="hy-AM"/>
        </w:rPr>
        <w:t>ան ուսումնասիրությունը</w:t>
      </w:r>
      <w:r w:rsidR="0024435A" w:rsidRPr="00286852">
        <w:rPr>
          <w:rFonts w:ascii="GHEA Grapalat" w:hAnsi="GHEA Grapalat"/>
          <w:sz w:val="24"/>
          <w:szCs w:val="24"/>
          <w:lang w:val="hy-AM"/>
        </w:rPr>
        <w:t xml:space="preserve"> վկայում է, որ </w:t>
      </w:r>
      <w:r w:rsidR="00FB10C3" w:rsidRPr="00286852">
        <w:rPr>
          <w:rFonts w:ascii="GHEA Grapalat" w:hAnsi="GHEA Grapalat"/>
          <w:sz w:val="24"/>
          <w:szCs w:val="24"/>
          <w:lang w:val="hy-AM"/>
        </w:rPr>
        <w:t xml:space="preserve">վարակը, ի տարբերություն կանանց, առավել տարածված է ավելի բարձր տարիքային խմբի տղամադրկանց շրջանում, </w:t>
      </w:r>
      <w:r w:rsidRPr="00286852">
        <w:rPr>
          <w:rFonts w:ascii="GHEA Grapalat" w:hAnsi="GHEA Grapalat"/>
          <w:sz w:val="24"/>
          <w:szCs w:val="24"/>
          <w:lang w:val="hy-AM"/>
        </w:rPr>
        <w:t xml:space="preserve">և  </w:t>
      </w:r>
      <w:r w:rsidR="00FB10C3" w:rsidRPr="00286852">
        <w:rPr>
          <w:rFonts w:ascii="GHEA Grapalat" w:hAnsi="GHEA Grapalat"/>
          <w:sz w:val="24"/>
          <w:szCs w:val="24"/>
          <w:lang w:val="hy-AM"/>
        </w:rPr>
        <w:t xml:space="preserve">գրեթե </w:t>
      </w:r>
      <w:r w:rsidRPr="00286852">
        <w:rPr>
          <w:rFonts w:ascii="GHEA Grapalat" w:hAnsi="GHEA Grapalat"/>
          <w:sz w:val="24"/>
          <w:szCs w:val="24"/>
          <w:lang w:val="hy-AM"/>
        </w:rPr>
        <w:t>անփոփոխ</w:t>
      </w:r>
      <w:r w:rsidR="00D3275D" w:rsidRPr="00286852">
        <w:rPr>
          <w:rFonts w:ascii="GHEA Grapalat" w:hAnsi="GHEA Grapalat"/>
          <w:sz w:val="24"/>
          <w:szCs w:val="24"/>
          <w:lang w:val="hy-AM"/>
        </w:rPr>
        <w:t xml:space="preserve"> է</w:t>
      </w:r>
      <w:r w:rsidRPr="00286852">
        <w:rPr>
          <w:rFonts w:ascii="GHEA Grapalat" w:hAnsi="GHEA Grapalat"/>
          <w:sz w:val="24"/>
          <w:szCs w:val="24"/>
          <w:lang w:val="hy-AM"/>
        </w:rPr>
        <w:t xml:space="preserve"> կամ </w:t>
      </w:r>
      <w:r w:rsidR="00D3275D" w:rsidRPr="00286852">
        <w:rPr>
          <w:rFonts w:ascii="GHEA Grapalat" w:hAnsi="GHEA Grapalat"/>
          <w:sz w:val="24"/>
          <w:szCs w:val="24"/>
          <w:lang w:val="hy-AM"/>
        </w:rPr>
        <w:t>չնչին</w:t>
      </w:r>
      <w:r w:rsidRPr="00286852">
        <w:rPr>
          <w:rFonts w:ascii="GHEA Grapalat" w:hAnsi="GHEA Grapalat"/>
          <w:sz w:val="24"/>
          <w:szCs w:val="24"/>
          <w:lang w:val="hy-AM"/>
        </w:rPr>
        <w:t xml:space="preserve"> նվազ</w:t>
      </w:r>
      <w:r w:rsidR="00D3275D" w:rsidRPr="00286852">
        <w:rPr>
          <w:rFonts w:ascii="GHEA Grapalat" w:hAnsi="GHEA Grapalat"/>
          <w:sz w:val="24"/>
          <w:szCs w:val="24"/>
          <w:lang w:val="hy-AM"/>
        </w:rPr>
        <w:t xml:space="preserve">ում </w:t>
      </w:r>
      <w:r w:rsidRPr="00286852">
        <w:rPr>
          <w:rFonts w:ascii="GHEA Grapalat" w:hAnsi="GHEA Grapalat"/>
          <w:sz w:val="24"/>
          <w:szCs w:val="24"/>
          <w:lang w:val="hy-AM"/>
        </w:rPr>
        <w:t xml:space="preserve">է տարիքի </w:t>
      </w:r>
      <w:r w:rsidR="00D3275D" w:rsidRPr="00286852">
        <w:rPr>
          <w:rFonts w:ascii="GHEA Grapalat" w:hAnsi="GHEA Grapalat"/>
          <w:sz w:val="24"/>
          <w:szCs w:val="24"/>
          <w:lang w:val="hy-AM"/>
        </w:rPr>
        <w:t xml:space="preserve">ավելացման </w:t>
      </w:r>
      <w:r w:rsidRPr="00286852">
        <w:rPr>
          <w:rFonts w:ascii="GHEA Grapalat" w:hAnsi="GHEA Grapalat"/>
          <w:sz w:val="24"/>
          <w:szCs w:val="24"/>
          <w:lang w:val="hy-AM"/>
        </w:rPr>
        <w:t>հետ:</w:t>
      </w:r>
    </w:p>
    <w:p w:rsidR="00F266AA" w:rsidRPr="00286852" w:rsidRDefault="00F266AA" w:rsidP="00A13CF6">
      <w:pPr>
        <w:spacing w:after="0" w:line="360" w:lineRule="auto"/>
        <w:jc w:val="both"/>
        <w:rPr>
          <w:rFonts w:ascii="GHEA Grapalat" w:hAnsi="GHEA Grapalat"/>
          <w:sz w:val="24"/>
          <w:szCs w:val="24"/>
          <w:lang w:val="hy-AM"/>
        </w:rPr>
      </w:pPr>
      <w:r w:rsidRPr="00286852">
        <w:rPr>
          <w:rFonts w:ascii="GHEA Grapalat" w:hAnsi="GHEA Grapalat"/>
          <w:sz w:val="24"/>
          <w:szCs w:val="24"/>
          <w:lang w:val="hy-AM"/>
        </w:rPr>
        <w:t>ՄՊՎ- ի տարածվածությունը բարձր է</w:t>
      </w:r>
      <w:r w:rsidR="00E25817" w:rsidRPr="00286852">
        <w:rPr>
          <w:rFonts w:ascii="GHEA Grapalat" w:hAnsi="GHEA Grapalat"/>
          <w:sz w:val="24"/>
          <w:szCs w:val="24"/>
          <w:lang w:val="hy-AM"/>
        </w:rPr>
        <w:t>ր</w:t>
      </w:r>
      <w:r w:rsidRPr="00286852">
        <w:rPr>
          <w:rFonts w:ascii="GHEA Grapalat" w:hAnsi="GHEA Grapalat"/>
          <w:sz w:val="24"/>
          <w:szCs w:val="24"/>
          <w:lang w:val="hy-AM"/>
        </w:rPr>
        <w:t xml:space="preserve"> բոլոր </w:t>
      </w:r>
      <w:r w:rsidR="00E25817" w:rsidRPr="00286852">
        <w:rPr>
          <w:rFonts w:ascii="GHEA Grapalat" w:hAnsi="GHEA Grapalat"/>
          <w:sz w:val="24"/>
          <w:szCs w:val="24"/>
          <w:lang w:val="hy-AM"/>
        </w:rPr>
        <w:t>տարածա</w:t>
      </w:r>
      <w:r w:rsidRPr="00286852">
        <w:rPr>
          <w:rFonts w:ascii="GHEA Grapalat" w:hAnsi="GHEA Grapalat"/>
          <w:sz w:val="24"/>
          <w:szCs w:val="24"/>
          <w:lang w:val="hy-AM"/>
        </w:rPr>
        <w:t>շրջաններում, սակայն տատանվում է</w:t>
      </w:r>
      <w:r w:rsidR="00E25817" w:rsidRPr="00286852">
        <w:rPr>
          <w:rFonts w:ascii="GHEA Grapalat" w:hAnsi="GHEA Grapalat"/>
          <w:sz w:val="24"/>
          <w:szCs w:val="24"/>
          <w:lang w:val="hy-AM"/>
        </w:rPr>
        <w:t>ր</w:t>
      </w:r>
      <w:r w:rsidRPr="00286852">
        <w:rPr>
          <w:rFonts w:ascii="GHEA Grapalat" w:hAnsi="GHEA Grapalat"/>
          <w:sz w:val="24"/>
          <w:szCs w:val="24"/>
          <w:lang w:val="hy-AM"/>
        </w:rPr>
        <w:t xml:space="preserve"> ցածր ռիսկի խմբում գտնվող տղամարդկանց շրջանում 1%-84%, իսկ բարձր ռիսկի խմբում գտնվող  տղամարդկանց շրջանում</w:t>
      </w:r>
      <w:r w:rsidR="00E25817" w:rsidRPr="00286852">
        <w:rPr>
          <w:rFonts w:ascii="GHEA Grapalat" w:hAnsi="GHEA Grapalat"/>
          <w:sz w:val="24"/>
          <w:szCs w:val="24"/>
          <w:lang w:val="hy-AM"/>
        </w:rPr>
        <w:t>՝</w:t>
      </w:r>
      <w:r w:rsidRPr="00286852">
        <w:rPr>
          <w:rFonts w:ascii="GHEA Grapalat" w:hAnsi="GHEA Grapalat"/>
          <w:sz w:val="24"/>
          <w:szCs w:val="24"/>
          <w:lang w:val="hy-AM"/>
        </w:rPr>
        <w:t xml:space="preserve"> 2%</w:t>
      </w:r>
      <w:r w:rsidR="00E25817" w:rsidRPr="00286852">
        <w:rPr>
          <w:rFonts w:ascii="GHEA Grapalat" w:hAnsi="GHEA Grapalat"/>
          <w:sz w:val="24"/>
          <w:szCs w:val="24"/>
          <w:lang w:val="hy-AM"/>
        </w:rPr>
        <w:t>-</w:t>
      </w:r>
      <w:r w:rsidRPr="00286852">
        <w:rPr>
          <w:rFonts w:ascii="GHEA Grapalat" w:hAnsi="GHEA Grapalat"/>
          <w:sz w:val="24"/>
          <w:szCs w:val="24"/>
          <w:lang w:val="hy-AM"/>
        </w:rPr>
        <w:t>93% (սեռական ճանապարհով փոխանցվող հիվանդություն ունեցող հիվանդանոց այցելածներ, ՄԻԱՎ</w:t>
      </w:r>
      <w:r w:rsidR="00E45F07" w:rsidRPr="00286852">
        <w:rPr>
          <w:rFonts w:ascii="GHEA Grapalat" w:hAnsi="GHEA Grapalat"/>
          <w:sz w:val="24"/>
          <w:szCs w:val="24"/>
          <w:lang w:val="hy-AM"/>
        </w:rPr>
        <w:t>-</w:t>
      </w:r>
      <w:r w:rsidRPr="00286852">
        <w:rPr>
          <w:rFonts w:ascii="GHEA Grapalat" w:hAnsi="GHEA Grapalat"/>
          <w:sz w:val="24"/>
          <w:szCs w:val="24"/>
          <w:lang w:val="hy-AM"/>
        </w:rPr>
        <w:t>դրական տղամարդ</w:t>
      </w:r>
      <w:r w:rsidR="00E25817" w:rsidRPr="00286852">
        <w:rPr>
          <w:rFonts w:ascii="GHEA Grapalat" w:hAnsi="GHEA Grapalat"/>
          <w:sz w:val="24"/>
          <w:szCs w:val="24"/>
          <w:lang w:val="hy-AM"/>
        </w:rPr>
        <w:t>ի</w:t>
      </w:r>
      <w:r w:rsidRPr="00286852">
        <w:rPr>
          <w:rFonts w:ascii="GHEA Grapalat" w:hAnsi="GHEA Grapalat"/>
          <w:sz w:val="24"/>
          <w:szCs w:val="24"/>
          <w:lang w:val="hy-AM"/>
        </w:rPr>
        <w:t>կ և  ՄՊՎ վարակ կամ ոչ նորմալ ցիտոլոգիա ունեցող կանանց զուգընկերներ): Դեպքերը բարձր տարածվածություն ունեն ՄԻԱՎ</w:t>
      </w:r>
      <w:r w:rsidR="00E45F07" w:rsidRPr="00286852">
        <w:rPr>
          <w:rFonts w:ascii="GHEA Grapalat" w:hAnsi="GHEA Grapalat"/>
          <w:sz w:val="24"/>
          <w:szCs w:val="24"/>
          <w:lang w:val="hy-AM"/>
        </w:rPr>
        <w:t>-</w:t>
      </w:r>
      <w:r w:rsidRPr="00286852">
        <w:rPr>
          <w:rFonts w:ascii="GHEA Grapalat" w:hAnsi="GHEA Grapalat"/>
          <w:sz w:val="24"/>
          <w:szCs w:val="24"/>
          <w:lang w:val="hy-AM"/>
        </w:rPr>
        <w:t>դրական տղամարդկանց շրջանում,  որոնք սեռական հարաբերություն են ունեցել այլ տղամարդկանց հետ: Անալ ՄՊՎ վարակը շատ տարածված է տղամարդկանց շրջանում, որոնք սեռական հարաբերություն են ունե</w:t>
      </w:r>
      <w:r w:rsidR="00282AC8" w:rsidRPr="00286852">
        <w:rPr>
          <w:rFonts w:ascii="GHEA Grapalat" w:hAnsi="GHEA Grapalat"/>
          <w:sz w:val="24"/>
          <w:szCs w:val="24"/>
          <w:lang w:val="hy-AM"/>
        </w:rPr>
        <w:t>ցել</w:t>
      </w:r>
      <w:r w:rsidRPr="00286852">
        <w:rPr>
          <w:rFonts w:ascii="GHEA Grapalat" w:hAnsi="GHEA Grapalat"/>
          <w:sz w:val="24"/>
          <w:szCs w:val="24"/>
          <w:lang w:val="hy-AM"/>
        </w:rPr>
        <w:t xml:space="preserve"> այլ տղամարդկանց հետ, և կրում է հանընդհանուր բնույթ գրեթե բոլոր  ՄԻԱՎ</w:t>
      </w:r>
      <w:r w:rsidR="00E45F07" w:rsidRPr="00286852">
        <w:rPr>
          <w:rFonts w:ascii="GHEA Grapalat" w:hAnsi="GHEA Grapalat"/>
          <w:sz w:val="24"/>
          <w:szCs w:val="24"/>
          <w:lang w:val="hy-AM"/>
        </w:rPr>
        <w:t>-</w:t>
      </w:r>
      <w:r w:rsidRPr="00286852">
        <w:rPr>
          <w:rFonts w:ascii="GHEA Grapalat" w:hAnsi="GHEA Grapalat"/>
          <w:sz w:val="24"/>
          <w:szCs w:val="24"/>
          <w:lang w:val="hy-AM"/>
        </w:rPr>
        <w:t xml:space="preserve">դրականների շրջանում: </w:t>
      </w:r>
      <w:r w:rsidR="00282AC8" w:rsidRPr="00286852">
        <w:rPr>
          <w:rFonts w:ascii="GHEA Grapalat" w:hAnsi="GHEA Grapalat"/>
          <w:sz w:val="24"/>
          <w:szCs w:val="24"/>
          <w:lang w:val="hy-AM"/>
        </w:rPr>
        <w:t>Բազմ</w:t>
      </w:r>
      <w:r w:rsidR="00E45F07" w:rsidRPr="00286852">
        <w:rPr>
          <w:rFonts w:ascii="GHEA Grapalat" w:hAnsi="GHEA Grapalat"/>
          <w:sz w:val="24"/>
          <w:szCs w:val="24"/>
          <w:lang w:val="hy-AM"/>
        </w:rPr>
        <w:t>ոլորտ</w:t>
      </w:r>
      <w:r w:rsidR="00282AC8" w:rsidRPr="00286852">
        <w:rPr>
          <w:rFonts w:ascii="GHEA Grapalat" w:hAnsi="GHEA Grapalat"/>
          <w:sz w:val="24"/>
          <w:szCs w:val="24"/>
          <w:lang w:val="hy-AM"/>
        </w:rPr>
        <w:t xml:space="preserve"> կլինիկական փորձարկման միջոցով ուսումնասիրվեց </w:t>
      </w:r>
      <w:r w:rsidR="003924DC" w:rsidRPr="00286852">
        <w:rPr>
          <w:rFonts w:ascii="GHEA Grapalat" w:hAnsi="GHEA Grapalat"/>
          <w:sz w:val="24"/>
          <w:szCs w:val="24"/>
          <w:lang w:val="hy-AM"/>
        </w:rPr>
        <w:t xml:space="preserve">առնանդամի, ամորձապարկի, </w:t>
      </w:r>
      <w:r w:rsidR="003924DC" w:rsidRPr="00286852">
        <w:rPr>
          <w:rFonts w:ascii="GHEA Grapalat" w:hAnsi="GHEA Grapalat"/>
          <w:sz w:val="24"/>
          <w:szCs w:val="24"/>
          <w:lang w:val="hy-AM"/>
        </w:rPr>
        <w:lastRenderedPageBreak/>
        <w:t xml:space="preserve">շուրջհետանցքային հատվածի ՄՊՎ վարակի տարածվածությունը </w:t>
      </w:r>
      <w:r w:rsidR="00282AC8" w:rsidRPr="00286852">
        <w:rPr>
          <w:rFonts w:ascii="GHEA Grapalat" w:hAnsi="GHEA Grapalat"/>
          <w:sz w:val="24"/>
          <w:szCs w:val="24"/>
          <w:lang w:val="hy-AM"/>
        </w:rPr>
        <w:t xml:space="preserve">հետերոսեքսուալ տղամարդկանց շրջանում։ </w:t>
      </w:r>
    </w:p>
    <w:p w:rsidR="00F266AA" w:rsidRPr="00286852" w:rsidRDefault="00F266AA" w:rsidP="00A13CF6">
      <w:pPr>
        <w:spacing w:after="0" w:line="360" w:lineRule="auto"/>
        <w:jc w:val="both"/>
        <w:rPr>
          <w:rFonts w:ascii="GHEA Grapalat" w:hAnsi="GHEA Grapalat"/>
          <w:sz w:val="24"/>
          <w:szCs w:val="24"/>
          <w:lang w:val="hy-AM"/>
        </w:rPr>
      </w:pPr>
      <w:r w:rsidRPr="00286852">
        <w:rPr>
          <w:rFonts w:ascii="GHEA Grapalat" w:hAnsi="GHEA Grapalat"/>
          <w:sz w:val="24"/>
          <w:szCs w:val="24"/>
          <w:lang w:val="hy-AM"/>
        </w:rPr>
        <w:t>ՄՊՎ ցանկացած  շճատիպով տարածվածությ</w:t>
      </w:r>
      <w:r w:rsidR="003924DC" w:rsidRPr="00286852">
        <w:rPr>
          <w:rFonts w:ascii="GHEA Grapalat" w:hAnsi="GHEA Grapalat"/>
          <w:sz w:val="24"/>
          <w:szCs w:val="24"/>
          <w:lang w:val="hy-AM"/>
        </w:rPr>
        <w:t xml:space="preserve">ան տվյալները հետևյալն են՝ </w:t>
      </w:r>
      <w:r w:rsidRPr="00286852">
        <w:rPr>
          <w:rFonts w:ascii="GHEA Grapalat" w:hAnsi="GHEA Grapalat"/>
          <w:sz w:val="24"/>
          <w:szCs w:val="24"/>
          <w:lang w:val="hy-AM"/>
        </w:rPr>
        <w:t xml:space="preserve"> 18.7%  առնանդամ, 13.1% </w:t>
      </w:r>
      <w:r w:rsidR="003924DC" w:rsidRPr="00286852">
        <w:rPr>
          <w:rFonts w:ascii="GHEA Grapalat" w:hAnsi="GHEA Grapalat"/>
          <w:sz w:val="24"/>
          <w:szCs w:val="24"/>
          <w:lang w:val="hy-AM"/>
        </w:rPr>
        <w:t>ամորձապարկ</w:t>
      </w:r>
      <w:r w:rsidRPr="00286852">
        <w:rPr>
          <w:rFonts w:ascii="GHEA Grapalat" w:hAnsi="GHEA Grapalat"/>
          <w:sz w:val="24"/>
          <w:szCs w:val="24"/>
          <w:lang w:val="hy-AM"/>
        </w:rPr>
        <w:t xml:space="preserve">, </w:t>
      </w:r>
      <w:r w:rsidR="00282AC8" w:rsidRPr="00286852">
        <w:rPr>
          <w:rFonts w:ascii="GHEA Grapalat" w:hAnsi="GHEA Grapalat"/>
          <w:sz w:val="24"/>
          <w:szCs w:val="24"/>
          <w:lang w:val="hy-AM"/>
        </w:rPr>
        <w:t xml:space="preserve">7.9% </w:t>
      </w:r>
      <w:r w:rsidR="003924DC" w:rsidRPr="00286852">
        <w:rPr>
          <w:rFonts w:ascii="GHEA Grapalat" w:hAnsi="GHEA Grapalat"/>
          <w:sz w:val="24"/>
          <w:szCs w:val="24"/>
          <w:lang w:val="hy-AM"/>
        </w:rPr>
        <w:t>շուրջհետանցքային հատված</w:t>
      </w:r>
      <w:r w:rsidR="00282AC8" w:rsidRPr="00286852">
        <w:rPr>
          <w:rFonts w:ascii="GHEA Grapalat" w:hAnsi="GHEA Grapalat"/>
          <w:sz w:val="24"/>
          <w:szCs w:val="24"/>
          <w:lang w:val="hy-AM"/>
        </w:rPr>
        <w:t xml:space="preserve"> </w:t>
      </w:r>
      <w:r w:rsidRPr="00286852">
        <w:rPr>
          <w:rFonts w:ascii="GHEA Grapalat" w:hAnsi="GHEA Grapalat"/>
          <w:sz w:val="24"/>
          <w:szCs w:val="24"/>
          <w:lang w:val="hy-AM"/>
        </w:rPr>
        <w:t xml:space="preserve">և </w:t>
      </w:r>
      <w:r w:rsidR="003924DC" w:rsidRPr="00286852">
        <w:rPr>
          <w:rFonts w:ascii="GHEA Grapalat" w:hAnsi="GHEA Grapalat"/>
          <w:sz w:val="24"/>
          <w:szCs w:val="24"/>
          <w:lang w:val="hy-AM"/>
        </w:rPr>
        <w:t xml:space="preserve">21.0% </w:t>
      </w:r>
      <w:r w:rsidRPr="00286852">
        <w:rPr>
          <w:rFonts w:ascii="GHEA Grapalat" w:hAnsi="GHEA Grapalat"/>
          <w:sz w:val="24"/>
          <w:szCs w:val="24"/>
          <w:lang w:val="hy-AM"/>
        </w:rPr>
        <w:t>ցանկացած</w:t>
      </w:r>
      <w:r w:rsidR="003924DC" w:rsidRPr="00286852">
        <w:rPr>
          <w:rFonts w:ascii="GHEA Grapalat" w:hAnsi="GHEA Grapalat"/>
          <w:sz w:val="24"/>
          <w:szCs w:val="24"/>
          <w:lang w:val="hy-AM"/>
        </w:rPr>
        <w:t xml:space="preserve"> այլ</w:t>
      </w:r>
      <w:r w:rsidRPr="00286852">
        <w:rPr>
          <w:rFonts w:ascii="GHEA Grapalat" w:hAnsi="GHEA Grapalat"/>
          <w:sz w:val="24"/>
          <w:szCs w:val="24"/>
          <w:lang w:val="hy-AM"/>
        </w:rPr>
        <w:t xml:space="preserve"> </w:t>
      </w:r>
      <w:r w:rsidR="003924DC" w:rsidRPr="00286852">
        <w:rPr>
          <w:rFonts w:ascii="GHEA Grapalat" w:hAnsi="GHEA Grapalat"/>
          <w:sz w:val="24"/>
          <w:szCs w:val="24"/>
          <w:lang w:val="hy-AM"/>
        </w:rPr>
        <w:t>օրգան։</w:t>
      </w:r>
      <w:r w:rsidR="00A13CF6" w:rsidRPr="00286852">
        <w:rPr>
          <w:rFonts w:ascii="GHEA Grapalat" w:hAnsi="GHEA Grapalat"/>
          <w:sz w:val="24"/>
          <w:szCs w:val="24"/>
          <w:lang w:val="hy-AM"/>
        </w:rPr>
        <w:t xml:space="preserve"> </w:t>
      </w:r>
      <w:r w:rsidRPr="00286852">
        <w:rPr>
          <w:rFonts w:ascii="GHEA Grapalat" w:hAnsi="GHEA Grapalat"/>
          <w:sz w:val="24"/>
          <w:szCs w:val="24"/>
          <w:lang w:val="hy-AM"/>
        </w:rPr>
        <w:t>ՄՊՎ</w:t>
      </w:r>
      <w:r w:rsidR="00E45F07" w:rsidRPr="00286852">
        <w:rPr>
          <w:rFonts w:ascii="GHEA Grapalat" w:hAnsi="GHEA Grapalat"/>
          <w:sz w:val="24"/>
          <w:szCs w:val="24"/>
          <w:lang w:val="hy-AM"/>
        </w:rPr>
        <w:t>-</w:t>
      </w:r>
      <w:r w:rsidRPr="00286852">
        <w:rPr>
          <w:rFonts w:ascii="GHEA Grapalat" w:hAnsi="GHEA Grapalat"/>
          <w:sz w:val="24"/>
          <w:szCs w:val="24"/>
          <w:lang w:val="hy-AM"/>
        </w:rPr>
        <w:t xml:space="preserve">ն առավել տարածված էր </w:t>
      </w:r>
      <w:r w:rsidR="00A13CF6" w:rsidRPr="00286852">
        <w:rPr>
          <w:rFonts w:ascii="GHEA Grapalat" w:hAnsi="GHEA Grapalat"/>
          <w:sz w:val="24"/>
          <w:szCs w:val="24"/>
          <w:lang w:val="hy-AM"/>
        </w:rPr>
        <w:t>Ա</w:t>
      </w:r>
      <w:r w:rsidRPr="00286852">
        <w:rPr>
          <w:rFonts w:ascii="GHEA Grapalat" w:hAnsi="GHEA Grapalat"/>
          <w:sz w:val="24"/>
          <w:szCs w:val="24"/>
          <w:lang w:val="hy-AM"/>
        </w:rPr>
        <w:t xml:space="preserve">ֆրիկյան տարածաշրջանի տղամարդկանց շրջանում և ամենաքիչն էր  տարածված Ասիա-Խաղաղօվկիանոսյան տարածաշրջանի տղամարդկանց շրջանում: </w:t>
      </w:r>
    </w:p>
    <w:p w:rsidR="00F266AA" w:rsidRPr="00286852" w:rsidRDefault="00F266AA" w:rsidP="00A13CF6">
      <w:pPr>
        <w:spacing w:after="0" w:line="360" w:lineRule="auto"/>
        <w:jc w:val="both"/>
        <w:rPr>
          <w:rFonts w:ascii="GHEA Grapalat" w:hAnsi="GHEA Grapalat"/>
          <w:sz w:val="24"/>
          <w:szCs w:val="24"/>
          <w:lang w:val="hy-AM"/>
        </w:rPr>
      </w:pPr>
      <w:r w:rsidRPr="00286852">
        <w:rPr>
          <w:rFonts w:ascii="GHEA Grapalat" w:hAnsi="GHEA Grapalat"/>
          <w:sz w:val="24"/>
          <w:szCs w:val="24"/>
          <w:lang w:val="hy-AM"/>
        </w:rPr>
        <w:t xml:space="preserve">Որևէ </w:t>
      </w:r>
      <w:r w:rsidR="00A13CF6" w:rsidRPr="00286852">
        <w:rPr>
          <w:rFonts w:ascii="GHEA Grapalat" w:hAnsi="GHEA Grapalat"/>
          <w:sz w:val="24"/>
          <w:szCs w:val="24"/>
          <w:lang w:val="hy-AM"/>
        </w:rPr>
        <w:t>տ</w:t>
      </w:r>
      <w:r w:rsidRPr="00286852">
        <w:rPr>
          <w:rFonts w:ascii="GHEA Grapalat" w:hAnsi="GHEA Grapalat"/>
          <w:sz w:val="24"/>
          <w:szCs w:val="24"/>
          <w:lang w:val="hy-AM"/>
        </w:rPr>
        <w:t>արիքային խումբ  կապված չէր ՄՊՎ-ի  6, 11, 16, 18 դրական շճատիպերի հետ կամ ՄՊՎ-ի այլ շճատիպերի տեսակների հետ:</w:t>
      </w:r>
    </w:p>
    <w:p w:rsidR="00F266AA" w:rsidRPr="00286852" w:rsidRDefault="00F266AA" w:rsidP="00A13CF6">
      <w:pPr>
        <w:spacing w:after="0" w:line="360" w:lineRule="auto"/>
        <w:jc w:val="both"/>
        <w:rPr>
          <w:rFonts w:ascii="GHEA Grapalat" w:hAnsi="GHEA Grapalat"/>
          <w:sz w:val="24"/>
          <w:szCs w:val="24"/>
          <w:lang w:val="hy-AM"/>
        </w:rPr>
      </w:pPr>
      <w:r w:rsidRPr="00286852">
        <w:rPr>
          <w:rFonts w:ascii="GHEA Grapalat" w:hAnsi="GHEA Grapalat"/>
          <w:sz w:val="24"/>
          <w:szCs w:val="24"/>
          <w:lang w:val="hy-AM"/>
        </w:rPr>
        <w:t xml:space="preserve">ՄՊՎ  տարածվածության վրա </w:t>
      </w:r>
      <w:r w:rsidR="00A13CF6" w:rsidRPr="00286852">
        <w:rPr>
          <w:rFonts w:ascii="GHEA Grapalat" w:hAnsi="GHEA Grapalat"/>
          <w:sz w:val="24"/>
          <w:szCs w:val="24"/>
          <w:lang w:val="hy-AM"/>
        </w:rPr>
        <w:t>էապես ազդում է</w:t>
      </w:r>
      <w:r w:rsidRPr="00286852">
        <w:rPr>
          <w:rFonts w:ascii="GHEA Grapalat" w:hAnsi="GHEA Grapalat"/>
          <w:sz w:val="24"/>
          <w:szCs w:val="24"/>
          <w:lang w:val="hy-AM"/>
        </w:rPr>
        <w:t xml:space="preserve"> ողջ կյանք</w:t>
      </w:r>
      <w:r w:rsidR="00A13CF6" w:rsidRPr="00286852">
        <w:rPr>
          <w:rFonts w:ascii="GHEA Grapalat" w:hAnsi="GHEA Grapalat"/>
          <w:sz w:val="24"/>
          <w:szCs w:val="24"/>
          <w:lang w:val="hy-AM"/>
        </w:rPr>
        <w:t>ի ընթացքում</w:t>
      </w:r>
      <w:r w:rsidRPr="00286852">
        <w:rPr>
          <w:rFonts w:ascii="GHEA Grapalat" w:hAnsi="GHEA Grapalat"/>
          <w:sz w:val="24"/>
          <w:szCs w:val="24"/>
          <w:lang w:val="hy-AM"/>
        </w:rPr>
        <w:t xml:space="preserve"> առնվազն երեք կին զուգընկեր</w:t>
      </w:r>
      <w:r w:rsidR="00A13CF6" w:rsidRPr="00286852">
        <w:rPr>
          <w:rFonts w:ascii="GHEA Grapalat" w:hAnsi="GHEA Grapalat"/>
          <w:sz w:val="24"/>
          <w:szCs w:val="24"/>
          <w:lang w:val="hy-AM"/>
        </w:rPr>
        <w:t xml:space="preserve"> ունենալու փաստը՝</w:t>
      </w:r>
      <w:r w:rsidRPr="00286852">
        <w:rPr>
          <w:rFonts w:ascii="GHEA Grapalat" w:hAnsi="GHEA Grapalat"/>
          <w:sz w:val="24"/>
          <w:szCs w:val="24"/>
          <w:lang w:val="hy-AM"/>
        </w:rPr>
        <w:t xml:space="preserve"> հավանականության հարաբերակացությունը (OR) 3.2 (95% ՎՄ: 2.1–4.9) ՄՊՎ 6,</w:t>
      </w:r>
      <w:r w:rsidR="00E45F07" w:rsidRPr="00286852">
        <w:rPr>
          <w:rFonts w:ascii="GHEA Grapalat" w:hAnsi="GHEA Grapalat"/>
          <w:sz w:val="24"/>
          <w:szCs w:val="24"/>
          <w:lang w:val="hy-AM"/>
        </w:rPr>
        <w:t xml:space="preserve"> </w:t>
      </w:r>
      <w:r w:rsidRPr="00286852">
        <w:rPr>
          <w:rFonts w:ascii="GHEA Grapalat" w:hAnsi="GHEA Grapalat"/>
          <w:sz w:val="24"/>
          <w:szCs w:val="24"/>
          <w:lang w:val="hy-AM"/>
        </w:rPr>
        <w:t xml:space="preserve">11 և 18 շճատիպերի համար, և հավանականության հարաբերակացությունը 4.5 (95% ՎՄ: 3.3–6.1) ՄՊՎ բոլոր հետազոտված շճատիպերի համար: </w:t>
      </w:r>
    </w:p>
    <w:p w:rsidR="00F266AA" w:rsidRPr="00286852" w:rsidRDefault="00ED7551"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Աֆրիկայի Սուբ-Սահարյան պետություններ</w:t>
      </w:r>
      <w:r w:rsidR="005836A0" w:rsidRPr="00286852">
        <w:rPr>
          <w:rFonts w:ascii="GHEA Grapalat" w:hAnsi="GHEA Grapalat"/>
          <w:sz w:val="24"/>
          <w:szCs w:val="24"/>
          <w:lang w:val="hy-AM"/>
        </w:rPr>
        <w:t>ի</w:t>
      </w:r>
      <w:r w:rsidRPr="00286852">
        <w:rPr>
          <w:rFonts w:ascii="GHEA Grapalat" w:hAnsi="GHEA Grapalat"/>
          <w:sz w:val="24"/>
          <w:szCs w:val="24"/>
          <w:lang w:val="hy-AM"/>
        </w:rPr>
        <w:t xml:space="preserve"> </w:t>
      </w:r>
      <w:r w:rsidR="005836A0" w:rsidRPr="00286852">
        <w:rPr>
          <w:rFonts w:ascii="GHEA Grapalat" w:hAnsi="GHEA Grapalat"/>
          <w:sz w:val="24"/>
          <w:szCs w:val="24"/>
          <w:lang w:val="hy-AM"/>
        </w:rPr>
        <w:t xml:space="preserve">տղամադրկանց շրջանում սեռական օրգանների ՄՊՎ-ի շարունակական հետազոտությունների տվյալների համաձայն </w:t>
      </w:r>
      <w:r w:rsidR="00F266AA" w:rsidRPr="00286852">
        <w:rPr>
          <w:rFonts w:ascii="GHEA Grapalat" w:hAnsi="GHEA Grapalat"/>
          <w:sz w:val="24"/>
          <w:szCs w:val="24"/>
          <w:lang w:val="hy-AM"/>
        </w:rPr>
        <w:t xml:space="preserve">ՄՊՎ </w:t>
      </w:r>
      <w:r w:rsidR="005836A0" w:rsidRPr="00286852">
        <w:rPr>
          <w:rFonts w:ascii="GHEA Grapalat" w:hAnsi="GHEA Grapalat"/>
          <w:sz w:val="24"/>
          <w:szCs w:val="24"/>
          <w:lang w:val="hy-AM"/>
        </w:rPr>
        <w:t xml:space="preserve">ցանկացած </w:t>
      </w:r>
      <w:r w:rsidR="00F266AA" w:rsidRPr="00286852">
        <w:rPr>
          <w:rFonts w:ascii="GHEA Grapalat" w:hAnsi="GHEA Grapalat"/>
          <w:sz w:val="24"/>
          <w:szCs w:val="24"/>
          <w:lang w:val="hy-AM"/>
        </w:rPr>
        <w:t xml:space="preserve">շճատիպի տարածվածության ցուցանիշը տատանվում էր 19.1% </w:t>
      </w:r>
      <w:r w:rsidR="005836A0" w:rsidRPr="00286852">
        <w:rPr>
          <w:rFonts w:ascii="GHEA Grapalat" w:hAnsi="GHEA Grapalat"/>
          <w:sz w:val="24"/>
          <w:szCs w:val="24"/>
          <w:lang w:val="hy-AM"/>
        </w:rPr>
        <w:t>-</w:t>
      </w:r>
      <w:r w:rsidR="00F266AA" w:rsidRPr="00286852">
        <w:rPr>
          <w:rFonts w:ascii="GHEA Grapalat" w:hAnsi="GHEA Grapalat"/>
          <w:sz w:val="24"/>
          <w:szCs w:val="24"/>
          <w:lang w:val="hy-AM"/>
        </w:rPr>
        <w:t xml:space="preserve"> 100%:</w:t>
      </w:r>
    </w:p>
    <w:p w:rsidR="00DA0C04"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 xml:space="preserve">ՄՊՎ ցանկացած </w:t>
      </w:r>
      <w:r w:rsidR="00A42539" w:rsidRPr="00286852">
        <w:rPr>
          <w:rFonts w:ascii="GHEA Grapalat" w:hAnsi="GHEA Grapalat"/>
          <w:sz w:val="24"/>
          <w:szCs w:val="24"/>
          <w:lang w:val="hy-AM"/>
        </w:rPr>
        <w:t>շճատիպի</w:t>
      </w:r>
      <w:r w:rsidRPr="00286852">
        <w:rPr>
          <w:rFonts w:ascii="GHEA Grapalat" w:hAnsi="GHEA Grapalat"/>
          <w:sz w:val="24"/>
          <w:szCs w:val="24"/>
          <w:lang w:val="hy-AM"/>
        </w:rPr>
        <w:t xml:space="preserve"> կոլեկտիվ տարածվածությունը կազմում է</w:t>
      </w:r>
      <w:r w:rsidR="00A42539" w:rsidRPr="00286852">
        <w:rPr>
          <w:rFonts w:ascii="GHEA Grapalat" w:hAnsi="GHEA Grapalat"/>
          <w:sz w:val="24"/>
          <w:szCs w:val="24"/>
          <w:lang w:val="hy-AM"/>
        </w:rPr>
        <w:t>ր</w:t>
      </w:r>
      <w:r w:rsidRPr="00286852">
        <w:rPr>
          <w:rFonts w:ascii="GHEA Grapalat" w:hAnsi="GHEA Grapalat"/>
          <w:sz w:val="24"/>
          <w:szCs w:val="24"/>
          <w:lang w:val="hy-AM"/>
        </w:rPr>
        <w:t xml:space="preserve">   78.2% (95% ՎՄ: 54.2–91.6%) </w:t>
      </w:r>
      <w:r w:rsidR="00A42539" w:rsidRPr="00286852">
        <w:rPr>
          <w:rFonts w:ascii="GHEA Grapalat" w:hAnsi="GHEA Grapalat"/>
          <w:sz w:val="24"/>
          <w:szCs w:val="24"/>
          <w:lang w:val="hy-AM"/>
        </w:rPr>
        <w:t xml:space="preserve">ՄԻԱՎ վարակակիր </w:t>
      </w:r>
      <w:r w:rsidRPr="00286852">
        <w:rPr>
          <w:rFonts w:ascii="GHEA Grapalat" w:hAnsi="GHEA Grapalat"/>
          <w:sz w:val="24"/>
          <w:szCs w:val="24"/>
          <w:lang w:val="hy-AM"/>
        </w:rPr>
        <w:t xml:space="preserve">տղամարդկանց շրջանում, և 49.4% (95% ՎՄ: 30.4–68.6%) </w:t>
      </w:r>
      <w:r w:rsidR="00A42539" w:rsidRPr="00286852">
        <w:rPr>
          <w:rFonts w:ascii="GHEA Grapalat" w:hAnsi="GHEA Grapalat"/>
          <w:sz w:val="24"/>
          <w:szCs w:val="24"/>
          <w:lang w:val="hy-AM"/>
        </w:rPr>
        <w:t>ՄԻԱՎ</w:t>
      </w:r>
      <w:r w:rsidRPr="00286852">
        <w:rPr>
          <w:rFonts w:ascii="GHEA Grapalat" w:hAnsi="GHEA Grapalat"/>
          <w:sz w:val="24"/>
          <w:szCs w:val="24"/>
          <w:lang w:val="hy-AM"/>
        </w:rPr>
        <w:t xml:space="preserve"> չունեցող տղամարդկանց  շրջանում </w:t>
      </w:r>
      <w:r w:rsidR="00A42539" w:rsidRPr="00286852">
        <w:rPr>
          <w:rFonts w:ascii="GHEA Grapalat" w:hAnsi="GHEA Grapalat"/>
          <w:sz w:val="24"/>
          <w:szCs w:val="24"/>
          <w:lang w:val="hy-AM"/>
        </w:rPr>
        <w:t>(</w:t>
      </w:r>
      <w:r w:rsidRPr="00286852">
        <w:rPr>
          <w:rFonts w:ascii="GHEA Grapalat" w:hAnsi="GHEA Grapalat"/>
          <w:sz w:val="24"/>
          <w:szCs w:val="24"/>
          <w:lang w:val="hy-AM"/>
        </w:rPr>
        <w:t xml:space="preserve">P=0.0632): Հստակ տարիքային զարգացում </w:t>
      </w:r>
      <w:r w:rsidR="00A42539" w:rsidRPr="00286852">
        <w:rPr>
          <w:rFonts w:ascii="GHEA Grapalat" w:hAnsi="GHEA Grapalat"/>
          <w:sz w:val="24"/>
          <w:szCs w:val="24"/>
          <w:lang w:val="hy-AM"/>
        </w:rPr>
        <w:t>չ</w:t>
      </w:r>
      <w:r w:rsidRPr="00286852">
        <w:rPr>
          <w:rFonts w:ascii="GHEA Grapalat" w:hAnsi="GHEA Grapalat"/>
          <w:sz w:val="24"/>
          <w:szCs w:val="24"/>
          <w:lang w:val="hy-AM"/>
        </w:rPr>
        <w:t xml:space="preserve">ի հայտնաբերվել: </w:t>
      </w:r>
      <w:r w:rsidR="00DA0C04" w:rsidRPr="00286852">
        <w:rPr>
          <w:rFonts w:ascii="GHEA Grapalat" w:hAnsi="GHEA Grapalat"/>
          <w:sz w:val="24"/>
          <w:szCs w:val="24"/>
          <w:lang w:val="hy-AM"/>
        </w:rPr>
        <w:t>Բնակչության շրջանում ա</w:t>
      </w:r>
      <w:r w:rsidRPr="00286852">
        <w:rPr>
          <w:rFonts w:ascii="GHEA Grapalat" w:hAnsi="GHEA Grapalat"/>
          <w:sz w:val="24"/>
          <w:szCs w:val="24"/>
          <w:lang w:val="hy-AM"/>
        </w:rPr>
        <w:t>մենատարածված բարձր ռիսկային ՄՊՎ շճատիպեր</w:t>
      </w:r>
      <w:r w:rsidR="00DA0C04" w:rsidRPr="00286852">
        <w:rPr>
          <w:rFonts w:ascii="GHEA Grapalat" w:hAnsi="GHEA Grapalat"/>
          <w:sz w:val="24"/>
          <w:szCs w:val="24"/>
          <w:lang w:val="hy-AM"/>
        </w:rPr>
        <w:t>ը հանդիսացել են ՄՊՎ-16 և ՄՊՎ-52, իսկ</w:t>
      </w:r>
      <w:r w:rsidRPr="00286852">
        <w:rPr>
          <w:rFonts w:ascii="GHEA Grapalat" w:hAnsi="GHEA Grapalat"/>
          <w:sz w:val="24"/>
          <w:szCs w:val="24"/>
          <w:lang w:val="hy-AM"/>
        </w:rPr>
        <w:t xml:space="preserve"> ՄՊՎ-6</w:t>
      </w:r>
      <w:r w:rsidR="00DA0C04" w:rsidRPr="00286852">
        <w:rPr>
          <w:rFonts w:ascii="GHEA Grapalat" w:hAnsi="GHEA Grapalat"/>
          <w:sz w:val="24"/>
          <w:szCs w:val="24"/>
          <w:lang w:val="hy-AM"/>
        </w:rPr>
        <w:t>՝</w:t>
      </w:r>
      <w:r w:rsidRPr="00286852">
        <w:rPr>
          <w:rFonts w:ascii="GHEA Grapalat" w:hAnsi="GHEA Grapalat"/>
          <w:sz w:val="24"/>
          <w:szCs w:val="24"/>
          <w:lang w:val="hy-AM"/>
        </w:rPr>
        <w:t xml:space="preserve"> ամենատարածված ցածր ռիսկային ՄՊՎ շճատիպ</w:t>
      </w:r>
      <w:r w:rsidR="00DA0C04" w:rsidRPr="00286852">
        <w:rPr>
          <w:rFonts w:ascii="GHEA Grapalat" w:hAnsi="GHEA Grapalat"/>
          <w:sz w:val="24"/>
          <w:szCs w:val="24"/>
          <w:lang w:val="hy-AM"/>
        </w:rPr>
        <w:t xml:space="preserve">ը։ </w:t>
      </w:r>
    </w:p>
    <w:p w:rsidR="00F266AA" w:rsidRPr="00286852" w:rsidRDefault="00F266AA" w:rsidP="00F266AA">
      <w:pPr>
        <w:spacing w:line="360" w:lineRule="auto"/>
        <w:jc w:val="both"/>
        <w:rPr>
          <w:rFonts w:ascii="GHEA Grapalat" w:hAnsi="GHEA Grapalat"/>
          <w:i/>
          <w:sz w:val="24"/>
          <w:szCs w:val="24"/>
          <w:lang w:val="hy-AM"/>
        </w:rPr>
      </w:pPr>
      <w:r w:rsidRPr="00286852">
        <w:rPr>
          <w:rFonts w:ascii="GHEA Grapalat" w:hAnsi="GHEA Grapalat"/>
          <w:i/>
          <w:sz w:val="24"/>
          <w:szCs w:val="24"/>
          <w:lang w:val="hy-AM"/>
        </w:rPr>
        <w:t>ՄՊՎ-ով պայմանավորված արգանդի պարանոցի քաղցկեղ կականց շրջանում</w:t>
      </w:r>
    </w:p>
    <w:p w:rsidR="00F266AA" w:rsidRPr="00286852" w:rsidRDefault="00AE10BE"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ՄՊՎ-ի բարձր ռիսկային շխատիպերով պայմանավորված վ</w:t>
      </w:r>
      <w:r w:rsidR="00F266AA" w:rsidRPr="00286852">
        <w:rPr>
          <w:rFonts w:ascii="GHEA Grapalat" w:hAnsi="GHEA Grapalat"/>
          <w:sz w:val="24"/>
          <w:szCs w:val="24"/>
          <w:lang w:val="hy-AM"/>
        </w:rPr>
        <w:t xml:space="preserve">արակի առկայությունը </w:t>
      </w:r>
      <w:r w:rsidRPr="00286852">
        <w:rPr>
          <w:rFonts w:ascii="GHEA Grapalat" w:hAnsi="GHEA Grapalat"/>
          <w:sz w:val="24"/>
          <w:szCs w:val="24"/>
          <w:lang w:val="hy-AM"/>
        </w:rPr>
        <w:t>սերտորեն</w:t>
      </w:r>
      <w:r w:rsidR="00F266AA" w:rsidRPr="00286852">
        <w:rPr>
          <w:rFonts w:ascii="GHEA Grapalat" w:hAnsi="GHEA Grapalat"/>
          <w:sz w:val="24"/>
          <w:szCs w:val="24"/>
          <w:lang w:val="hy-AM"/>
        </w:rPr>
        <w:t xml:space="preserve"> կապված է արգանդի պարանոցի քացկեղի զարգացման հետ: Համաձայն հաշվարկների, 2012 թ. կանանց շրջանում ՄՊՎ</w:t>
      </w:r>
      <w:r w:rsidRPr="00286852">
        <w:rPr>
          <w:rFonts w:ascii="GHEA Grapalat" w:hAnsi="GHEA Grapalat"/>
          <w:sz w:val="24"/>
          <w:szCs w:val="24"/>
          <w:lang w:val="hy-AM"/>
        </w:rPr>
        <w:t>-ով</w:t>
      </w:r>
      <w:r w:rsidR="00F266AA" w:rsidRPr="00286852">
        <w:rPr>
          <w:rFonts w:ascii="GHEA Grapalat" w:hAnsi="GHEA Grapalat"/>
          <w:sz w:val="24"/>
          <w:szCs w:val="24"/>
          <w:lang w:val="hy-AM"/>
        </w:rPr>
        <w:t xml:space="preserve"> պայմանավորված քաղցկեղների 630 000 նոր դեպք է հայտնաբերվել, որից 530 000 (84%) արգանդի պարանոցի  քաղցկեղ</w:t>
      </w:r>
      <w:r w:rsidRPr="00286852">
        <w:rPr>
          <w:rFonts w:ascii="GHEA Grapalat" w:hAnsi="GHEA Grapalat"/>
          <w:sz w:val="24"/>
          <w:szCs w:val="24"/>
          <w:lang w:val="hy-AM"/>
        </w:rPr>
        <w:t>ի</w:t>
      </w:r>
      <w:r w:rsidR="00F266AA" w:rsidRPr="00286852">
        <w:rPr>
          <w:rFonts w:ascii="GHEA Grapalat" w:hAnsi="GHEA Grapalat"/>
          <w:sz w:val="24"/>
          <w:szCs w:val="24"/>
          <w:lang w:val="hy-AM"/>
        </w:rPr>
        <w:t>:</w:t>
      </w:r>
      <w:r w:rsidRPr="00286852">
        <w:rPr>
          <w:rFonts w:ascii="GHEA Grapalat" w:hAnsi="GHEA Grapalat"/>
          <w:sz w:val="24"/>
          <w:szCs w:val="24"/>
          <w:lang w:val="hy-AM"/>
        </w:rPr>
        <w:t xml:space="preserve"> Ինչի հետևանքով ամբողջ աշխարոհւմ արձանագրվել է մոտ</w:t>
      </w:r>
      <w:r w:rsidR="00F266AA" w:rsidRPr="00286852">
        <w:rPr>
          <w:rFonts w:ascii="GHEA Grapalat" w:hAnsi="GHEA Grapalat"/>
          <w:sz w:val="24"/>
          <w:szCs w:val="24"/>
          <w:lang w:val="hy-AM"/>
        </w:rPr>
        <w:t xml:space="preserve"> 266 000  մահվան դեպք, որը կազմում է  կանանց շրջանում այդ տարում քաղցկեղով պայմանավորված  մահ</w:t>
      </w:r>
      <w:r w:rsidR="00E45F07" w:rsidRPr="00286852">
        <w:rPr>
          <w:rFonts w:ascii="GHEA Grapalat" w:hAnsi="GHEA Grapalat"/>
          <w:sz w:val="24"/>
          <w:szCs w:val="24"/>
          <w:lang w:val="hy-AM"/>
        </w:rPr>
        <w:t>ացությա</w:t>
      </w:r>
      <w:r w:rsidR="00F266AA" w:rsidRPr="00286852">
        <w:rPr>
          <w:rFonts w:ascii="GHEA Grapalat" w:hAnsi="GHEA Grapalat"/>
          <w:sz w:val="24"/>
          <w:szCs w:val="24"/>
          <w:lang w:val="hy-AM"/>
        </w:rPr>
        <w:t>ն 8% -ը:</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ՄՊՎ 16 և ՄՊՎ</w:t>
      </w:r>
      <w:r w:rsidR="00E84E15" w:rsidRPr="00286852">
        <w:rPr>
          <w:rFonts w:ascii="GHEA Grapalat" w:hAnsi="GHEA Grapalat"/>
          <w:sz w:val="24"/>
          <w:szCs w:val="24"/>
          <w:lang w:val="hy-AM"/>
        </w:rPr>
        <w:t xml:space="preserve"> 18 </w:t>
      </w:r>
      <w:r w:rsidR="003824CF" w:rsidRPr="00286852">
        <w:rPr>
          <w:rFonts w:ascii="GHEA Grapalat" w:hAnsi="GHEA Grapalat"/>
          <w:sz w:val="24"/>
          <w:szCs w:val="24"/>
          <w:lang w:val="hy-AM"/>
        </w:rPr>
        <w:t>շճատիպերով պայմանավորված են</w:t>
      </w:r>
      <w:r w:rsidRPr="00286852">
        <w:rPr>
          <w:rFonts w:ascii="GHEA Grapalat" w:hAnsi="GHEA Grapalat"/>
          <w:sz w:val="24"/>
          <w:szCs w:val="24"/>
          <w:lang w:val="hy-AM"/>
        </w:rPr>
        <w:t xml:space="preserve"> արգանդի պարանոցի քաղցկեղի </w:t>
      </w:r>
      <w:r w:rsidR="003824CF" w:rsidRPr="00286852">
        <w:rPr>
          <w:rFonts w:ascii="GHEA Grapalat" w:hAnsi="GHEA Grapalat"/>
          <w:sz w:val="24"/>
          <w:szCs w:val="24"/>
          <w:lang w:val="hy-AM"/>
        </w:rPr>
        <w:t xml:space="preserve">71% </w:t>
      </w:r>
      <w:r w:rsidRPr="00286852">
        <w:rPr>
          <w:rFonts w:ascii="GHEA Grapalat" w:hAnsi="GHEA Grapalat"/>
          <w:sz w:val="24"/>
          <w:szCs w:val="24"/>
          <w:lang w:val="hy-AM"/>
        </w:rPr>
        <w:t>դեպքեր</w:t>
      </w:r>
      <w:r w:rsidR="003824CF" w:rsidRPr="00286852">
        <w:rPr>
          <w:rFonts w:ascii="GHEA Grapalat" w:hAnsi="GHEA Grapalat"/>
          <w:sz w:val="24"/>
          <w:szCs w:val="24"/>
          <w:lang w:val="hy-AM"/>
        </w:rPr>
        <w:t>ը</w:t>
      </w:r>
      <w:r w:rsidRPr="00286852">
        <w:rPr>
          <w:rFonts w:ascii="GHEA Grapalat" w:hAnsi="GHEA Grapalat"/>
          <w:sz w:val="24"/>
          <w:szCs w:val="24"/>
          <w:lang w:val="hy-AM"/>
        </w:rPr>
        <w:t xml:space="preserve">: Ավելի </w:t>
      </w:r>
      <w:r w:rsidR="00E84E15" w:rsidRPr="00286852">
        <w:rPr>
          <w:rFonts w:ascii="GHEA Grapalat" w:hAnsi="GHEA Grapalat"/>
          <w:sz w:val="24"/>
          <w:szCs w:val="24"/>
          <w:lang w:val="hy-AM"/>
        </w:rPr>
        <w:t>ստույգ</w:t>
      </w:r>
      <w:r w:rsidRPr="00286852">
        <w:rPr>
          <w:rFonts w:ascii="GHEA Grapalat" w:hAnsi="GHEA Grapalat"/>
          <w:sz w:val="24"/>
          <w:szCs w:val="24"/>
          <w:lang w:val="hy-AM"/>
        </w:rPr>
        <w:t>, դեպքերի 60.6% (95% ՎՄ: 59.6-61.6) վերագրվում են ՄՊՎ-16 շճատիպին և  10.2% (95% ՎՄ: 9.6-10.9)՝  ՄՊՎ-18 շճատիպին:</w:t>
      </w:r>
    </w:p>
    <w:p w:rsidR="00F266AA" w:rsidRPr="00286852" w:rsidRDefault="006827A3"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ՄՊՎ-31 շճատիպով  պայմանավորված ա</w:t>
      </w:r>
      <w:r w:rsidR="00F266AA" w:rsidRPr="00286852">
        <w:rPr>
          <w:rFonts w:ascii="GHEA Grapalat" w:hAnsi="GHEA Grapalat"/>
          <w:sz w:val="24"/>
          <w:szCs w:val="24"/>
          <w:lang w:val="hy-AM"/>
        </w:rPr>
        <w:t>րգանդի պարանոցի քաղցկեղ</w:t>
      </w:r>
      <w:r w:rsidR="00234FD5" w:rsidRPr="00286852">
        <w:rPr>
          <w:rFonts w:ascii="GHEA Grapalat" w:hAnsi="GHEA Grapalat"/>
          <w:sz w:val="24"/>
          <w:szCs w:val="24"/>
          <w:lang w:val="hy-AM"/>
        </w:rPr>
        <w:t>ի</w:t>
      </w:r>
      <w:r w:rsidR="00F266AA" w:rsidRPr="00286852">
        <w:rPr>
          <w:rFonts w:ascii="GHEA Grapalat" w:hAnsi="GHEA Grapalat"/>
          <w:sz w:val="24"/>
          <w:szCs w:val="24"/>
          <w:lang w:val="hy-AM"/>
        </w:rPr>
        <w:t xml:space="preserve">  դեպքերը կազմում են  3.7%, ՄՊՎ-33՝ 3.8%, ՄՊՎ-45՝ 5.9%, ՄՊՎ-52՝  2.8% և ՄՊՎ-58՝ 2.3%: </w:t>
      </w:r>
    </w:p>
    <w:p w:rsidR="00F266AA" w:rsidRPr="00286852" w:rsidRDefault="006827A3"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ՄՊՎ դրական ԴՆԹ ունեցող տափակ-բջջային քաղցկեղների մոտ 90%-ը </w:t>
      </w:r>
      <w:r w:rsidR="002E39B7" w:rsidRPr="00286852">
        <w:rPr>
          <w:rFonts w:ascii="GHEA Grapalat" w:hAnsi="GHEA Grapalat"/>
          <w:sz w:val="24"/>
          <w:szCs w:val="24"/>
          <w:lang w:val="hy-AM"/>
        </w:rPr>
        <w:t xml:space="preserve">պայմանավորված է </w:t>
      </w:r>
      <w:r w:rsidR="00F266AA" w:rsidRPr="00286852">
        <w:rPr>
          <w:rFonts w:ascii="GHEA Grapalat" w:hAnsi="GHEA Grapalat"/>
          <w:sz w:val="24"/>
          <w:szCs w:val="24"/>
          <w:lang w:val="hy-AM"/>
        </w:rPr>
        <w:t>ՄՊՎ 16, 18, 45, 31, 33, 52 և 58 շճատիպեր</w:t>
      </w:r>
      <w:r w:rsidRPr="00286852">
        <w:rPr>
          <w:rFonts w:ascii="GHEA Grapalat" w:hAnsi="GHEA Grapalat"/>
          <w:sz w:val="24"/>
          <w:szCs w:val="24"/>
          <w:lang w:val="hy-AM"/>
        </w:rPr>
        <w:t>ով</w:t>
      </w:r>
      <w:r w:rsidR="00F266AA" w:rsidRPr="00286852">
        <w:rPr>
          <w:rFonts w:ascii="GHEA Grapalat" w:hAnsi="GHEA Grapalat"/>
          <w:sz w:val="24"/>
          <w:szCs w:val="24"/>
          <w:lang w:val="hy-AM"/>
        </w:rPr>
        <w:t xml:space="preserve">: Չնայած ՄՊՎ </w:t>
      </w:r>
      <w:r w:rsidR="002E39B7" w:rsidRPr="00286852">
        <w:rPr>
          <w:rFonts w:ascii="GHEA Grapalat" w:hAnsi="GHEA Grapalat"/>
          <w:sz w:val="24"/>
          <w:szCs w:val="24"/>
          <w:lang w:val="hy-AM"/>
        </w:rPr>
        <w:t xml:space="preserve">բարձր ռիսկային շճատիպով վարակված լինելու փաստը </w:t>
      </w:r>
      <w:r w:rsidR="00F266AA" w:rsidRPr="00286852">
        <w:rPr>
          <w:rFonts w:ascii="GHEA Grapalat" w:hAnsi="GHEA Grapalat"/>
          <w:sz w:val="24"/>
          <w:szCs w:val="24"/>
          <w:lang w:val="hy-AM"/>
        </w:rPr>
        <w:t>արգանդի պարանոցի քաղցկեղի առաջաց</w:t>
      </w:r>
      <w:r w:rsidR="002E39B7" w:rsidRPr="00286852">
        <w:rPr>
          <w:rFonts w:ascii="GHEA Grapalat" w:hAnsi="GHEA Grapalat"/>
          <w:sz w:val="24"/>
          <w:szCs w:val="24"/>
          <w:lang w:val="hy-AM"/>
        </w:rPr>
        <w:t>ման</w:t>
      </w:r>
      <w:r w:rsidR="00F266AA" w:rsidRPr="00286852">
        <w:rPr>
          <w:rFonts w:ascii="GHEA Grapalat" w:hAnsi="GHEA Grapalat"/>
          <w:sz w:val="24"/>
          <w:szCs w:val="24"/>
          <w:lang w:val="hy-AM"/>
        </w:rPr>
        <w:t xml:space="preserve"> </w:t>
      </w:r>
      <w:r w:rsidR="002E39B7" w:rsidRPr="00286852">
        <w:rPr>
          <w:rFonts w:ascii="GHEA Grapalat" w:hAnsi="GHEA Grapalat"/>
          <w:sz w:val="24"/>
          <w:szCs w:val="24"/>
          <w:lang w:val="hy-AM"/>
        </w:rPr>
        <w:t>հիմնական պատճառն է</w:t>
      </w:r>
      <w:r w:rsidR="00F266AA" w:rsidRPr="00286852">
        <w:rPr>
          <w:rFonts w:ascii="GHEA Grapalat" w:hAnsi="GHEA Grapalat"/>
          <w:sz w:val="24"/>
          <w:szCs w:val="24"/>
          <w:lang w:val="hy-AM"/>
        </w:rPr>
        <w:t xml:space="preserve">, </w:t>
      </w:r>
      <w:r w:rsidR="002E39B7" w:rsidRPr="00286852">
        <w:rPr>
          <w:rFonts w:ascii="GHEA Grapalat" w:hAnsi="GHEA Grapalat"/>
          <w:sz w:val="24"/>
          <w:szCs w:val="24"/>
          <w:lang w:val="hy-AM"/>
        </w:rPr>
        <w:t>այնուամենայնիվ մի շարք</w:t>
      </w:r>
      <w:r w:rsidR="00F266AA" w:rsidRPr="00286852">
        <w:rPr>
          <w:rFonts w:ascii="GHEA Grapalat" w:hAnsi="GHEA Grapalat"/>
          <w:sz w:val="24"/>
          <w:szCs w:val="24"/>
          <w:lang w:val="hy-AM"/>
        </w:rPr>
        <w:t xml:space="preserve"> կանանց</w:t>
      </w:r>
      <w:r w:rsidR="002E39B7" w:rsidRPr="00286852">
        <w:rPr>
          <w:rFonts w:ascii="GHEA Grapalat" w:hAnsi="GHEA Grapalat"/>
          <w:sz w:val="24"/>
          <w:szCs w:val="24"/>
          <w:lang w:val="hy-AM"/>
        </w:rPr>
        <w:t xml:space="preserve"> օրգանիզմում վիրուսի առկայության հետևանքով</w:t>
      </w:r>
      <w:r w:rsidR="00F266AA" w:rsidRPr="00286852">
        <w:rPr>
          <w:rFonts w:ascii="GHEA Grapalat" w:hAnsi="GHEA Grapalat"/>
          <w:sz w:val="24"/>
          <w:szCs w:val="24"/>
          <w:lang w:val="hy-AM"/>
        </w:rPr>
        <w:t xml:space="preserve"> քաղցկեղ</w:t>
      </w:r>
      <w:r w:rsidR="002E39B7" w:rsidRPr="00286852">
        <w:rPr>
          <w:rFonts w:ascii="GHEA Grapalat" w:hAnsi="GHEA Grapalat"/>
          <w:sz w:val="24"/>
          <w:szCs w:val="24"/>
          <w:lang w:val="hy-AM"/>
        </w:rPr>
        <w:t xml:space="preserve"> չի զարգանում</w:t>
      </w:r>
      <w:r w:rsidR="00F266AA" w:rsidRPr="00286852">
        <w:rPr>
          <w:rFonts w:ascii="GHEA Grapalat" w:hAnsi="GHEA Grapalat"/>
          <w:sz w:val="24"/>
          <w:szCs w:val="24"/>
          <w:lang w:val="hy-AM"/>
        </w:rPr>
        <w:t xml:space="preserve">: </w:t>
      </w:r>
      <w:r w:rsidR="002E1BFC" w:rsidRPr="00286852">
        <w:rPr>
          <w:rFonts w:ascii="GHEA Grapalat" w:hAnsi="GHEA Grapalat"/>
          <w:sz w:val="24"/>
          <w:szCs w:val="24"/>
          <w:lang w:val="hy-AM"/>
        </w:rPr>
        <w:t>Վարակը պահպանվում է կանանց շատ ցածր տոկոսի օրգանիզմում և</w:t>
      </w:r>
      <w:r w:rsidR="00F266AA" w:rsidRPr="00286852">
        <w:rPr>
          <w:rFonts w:ascii="GHEA Grapalat" w:hAnsi="GHEA Grapalat"/>
          <w:sz w:val="24"/>
          <w:szCs w:val="24"/>
          <w:lang w:val="hy-AM"/>
        </w:rPr>
        <w:t xml:space="preserve"> քրոնիկ վարակների միայն շատ ցածր տոկոսը կարող է առաջացնել նախաքաղցկեղային վիճակ, որից ավելի քիչ տոկոսը կարող է առացաջնել ինվազիվ քաղցկեղ: Արգանդի պարանոցի քաղցկեղի դեպքերի</w:t>
      </w:r>
      <w:r w:rsidR="002E1BFC" w:rsidRPr="00286852">
        <w:rPr>
          <w:rFonts w:ascii="GHEA Grapalat" w:hAnsi="GHEA Grapalat"/>
          <w:sz w:val="24"/>
          <w:szCs w:val="24"/>
          <w:lang w:val="hy-AM"/>
        </w:rPr>
        <w:t xml:space="preserve"> </w:t>
      </w:r>
      <w:r w:rsidR="00F266AA" w:rsidRPr="00286852">
        <w:rPr>
          <w:rFonts w:ascii="GHEA Grapalat" w:hAnsi="GHEA Grapalat"/>
          <w:sz w:val="24"/>
          <w:szCs w:val="24"/>
          <w:lang w:val="hy-AM"/>
        </w:rPr>
        <w:t>(</w:t>
      </w:r>
      <w:r w:rsidR="002E1BFC" w:rsidRPr="00286852">
        <w:rPr>
          <w:rFonts w:ascii="GHEA Grapalat" w:hAnsi="GHEA Grapalat"/>
          <w:sz w:val="24"/>
          <w:szCs w:val="24"/>
          <w:lang w:val="hy-AM"/>
        </w:rPr>
        <w:t>տարեկան 445 000 դեպք</w:t>
      </w:r>
      <w:r w:rsidR="00F266AA" w:rsidRPr="00286852">
        <w:rPr>
          <w:rFonts w:ascii="GHEA Grapalat" w:hAnsi="GHEA Grapalat"/>
          <w:sz w:val="24"/>
          <w:szCs w:val="24"/>
          <w:lang w:val="hy-AM"/>
        </w:rPr>
        <w:t xml:space="preserve">)  մեծամասնությունը (&gt;85%) </w:t>
      </w:r>
      <w:r w:rsidR="002E1BFC" w:rsidRPr="00286852">
        <w:rPr>
          <w:rFonts w:ascii="GHEA Grapalat" w:hAnsi="GHEA Grapalat"/>
          <w:sz w:val="24"/>
          <w:szCs w:val="24"/>
          <w:lang w:val="hy-AM"/>
        </w:rPr>
        <w:lastRenderedPageBreak/>
        <w:t>արձանագրվում</w:t>
      </w:r>
      <w:r w:rsidR="00F266AA" w:rsidRPr="00286852">
        <w:rPr>
          <w:rFonts w:ascii="GHEA Grapalat" w:hAnsi="GHEA Grapalat"/>
          <w:sz w:val="24"/>
          <w:szCs w:val="24"/>
          <w:lang w:val="hy-AM"/>
        </w:rPr>
        <w:t xml:space="preserve"> է ավելի քիչ զարգացած </w:t>
      </w:r>
      <w:r w:rsidR="002E1BFC" w:rsidRPr="00286852">
        <w:rPr>
          <w:rFonts w:ascii="GHEA Grapalat" w:hAnsi="GHEA Grapalat"/>
          <w:sz w:val="24"/>
          <w:szCs w:val="24"/>
          <w:lang w:val="hy-AM"/>
        </w:rPr>
        <w:t>տարածա</w:t>
      </w:r>
      <w:r w:rsidR="00F266AA" w:rsidRPr="00286852">
        <w:rPr>
          <w:rFonts w:ascii="GHEA Grapalat" w:hAnsi="GHEA Grapalat"/>
          <w:sz w:val="24"/>
          <w:szCs w:val="24"/>
          <w:lang w:val="hy-AM"/>
        </w:rPr>
        <w:t xml:space="preserve">շրջաններում, որտեղ այն կազմում է կանանց շրջանում </w:t>
      </w:r>
      <w:r w:rsidR="002E1BFC" w:rsidRPr="00286852">
        <w:rPr>
          <w:rFonts w:ascii="GHEA Grapalat" w:hAnsi="GHEA Grapalat"/>
          <w:sz w:val="24"/>
          <w:szCs w:val="24"/>
          <w:lang w:val="hy-AM"/>
        </w:rPr>
        <w:t xml:space="preserve">արձանագրվող </w:t>
      </w:r>
      <w:r w:rsidR="00F266AA" w:rsidRPr="00286852">
        <w:rPr>
          <w:rFonts w:ascii="GHEA Grapalat" w:hAnsi="GHEA Grapalat"/>
          <w:sz w:val="24"/>
          <w:szCs w:val="24"/>
          <w:lang w:val="hy-AM"/>
        </w:rPr>
        <w:t>քաղցկեղի դեպքերի մոտ 12%-ը:</w:t>
      </w:r>
    </w:p>
    <w:p w:rsidR="00F266AA" w:rsidRPr="00286852" w:rsidRDefault="0077161C"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Համեմատելով տվյալները պարզ երևում է, որ ա</w:t>
      </w:r>
      <w:r w:rsidR="00F266AA" w:rsidRPr="00286852">
        <w:rPr>
          <w:rFonts w:ascii="GHEA Grapalat" w:hAnsi="GHEA Grapalat"/>
          <w:sz w:val="24"/>
          <w:szCs w:val="24"/>
          <w:lang w:val="hy-AM"/>
        </w:rPr>
        <w:t xml:space="preserve">վելի զարգացած </w:t>
      </w:r>
      <w:r w:rsidR="00900213" w:rsidRPr="00286852">
        <w:rPr>
          <w:rFonts w:ascii="GHEA Grapalat" w:hAnsi="GHEA Grapalat"/>
          <w:sz w:val="24"/>
          <w:szCs w:val="24"/>
          <w:lang w:val="hy-AM"/>
        </w:rPr>
        <w:t>տարածաշրջաններ</w:t>
      </w:r>
      <w:r w:rsidRPr="00286852">
        <w:rPr>
          <w:rFonts w:ascii="GHEA Grapalat" w:hAnsi="GHEA Grapalat"/>
          <w:sz w:val="24"/>
          <w:szCs w:val="24"/>
          <w:lang w:val="hy-AM"/>
        </w:rPr>
        <w:t>ում</w:t>
      </w:r>
      <w:r w:rsidR="00900213" w:rsidRPr="00286852">
        <w:rPr>
          <w:rFonts w:ascii="GHEA Grapalat" w:hAnsi="GHEA Grapalat"/>
          <w:sz w:val="24"/>
          <w:szCs w:val="24"/>
          <w:lang w:val="hy-AM"/>
        </w:rPr>
        <w:t xml:space="preserve"> </w:t>
      </w:r>
      <w:r w:rsidRPr="00286852">
        <w:rPr>
          <w:rFonts w:ascii="GHEA Grapalat" w:hAnsi="GHEA Grapalat"/>
          <w:sz w:val="24"/>
          <w:szCs w:val="24"/>
          <w:lang w:val="hy-AM"/>
        </w:rPr>
        <w:t xml:space="preserve">կանանց շրջանում  </w:t>
      </w:r>
      <w:r w:rsidR="00F266AA" w:rsidRPr="00286852">
        <w:rPr>
          <w:rFonts w:ascii="GHEA Grapalat" w:hAnsi="GHEA Grapalat"/>
          <w:sz w:val="24"/>
          <w:szCs w:val="24"/>
          <w:lang w:val="hy-AM"/>
        </w:rPr>
        <w:t xml:space="preserve">արգանդի պարանոցի քաղցկեղի դեպքերը կազմում են բոլոր տեսակի </w:t>
      </w:r>
      <w:r w:rsidRPr="00286852">
        <w:rPr>
          <w:rFonts w:ascii="GHEA Grapalat" w:hAnsi="GHEA Grapalat"/>
          <w:sz w:val="24"/>
          <w:szCs w:val="24"/>
          <w:lang w:val="hy-AM"/>
        </w:rPr>
        <w:t>քաղցկեղների</w:t>
      </w:r>
      <w:r w:rsidR="00F266AA" w:rsidRPr="00286852">
        <w:rPr>
          <w:rFonts w:ascii="GHEA Grapalat" w:hAnsi="GHEA Grapalat"/>
          <w:sz w:val="24"/>
          <w:szCs w:val="24"/>
          <w:lang w:val="hy-AM"/>
        </w:rPr>
        <w:t xml:space="preserve"> </w:t>
      </w:r>
      <w:r w:rsidRPr="00286852">
        <w:rPr>
          <w:rFonts w:ascii="GHEA Grapalat" w:hAnsi="GHEA Grapalat"/>
          <w:sz w:val="24"/>
          <w:szCs w:val="24"/>
          <w:lang w:val="hy-AM"/>
        </w:rPr>
        <w:t xml:space="preserve">միայն </w:t>
      </w:r>
      <w:r w:rsidR="00F266AA" w:rsidRPr="00286852">
        <w:rPr>
          <w:rFonts w:ascii="GHEA Grapalat" w:hAnsi="GHEA Grapalat"/>
          <w:sz w:val="24"/>
          <w:szCs w:val="24"/>
          <w:lang w:val="hy-AM"/>
        </w:rPr>
        <w:t>1%-ը (տարեկան 83 000</w:t>
      </w:r>
      <w:r w:rsidRPr="00286852">
        <w:rPr>
          <w:rFonts w:ascii="GHEA Grapalat" w:hAnsi="GHEA Grapalat"/>
          <w:sz w:val="24"/>
          <w:szCs w:val="24"/>
          <w:lang w:val="hy-AM"/>
        </w:rPr>
        <w:t xml:space="preserve"> դեպք</w:t>
      </w:r>
      <w:r w:rsidR="00F266AA" w:rsidRPr="00286852">
        <w:rPr>
          <w:rFonts w:ascii="GHEA Grapalat" w:hAnsi="GHEA Grapalat"/>
          <w:sz w:val="24"/>
          <w:szCs w:val="24"/>
          <w:lang w:val="hy-AM"/>
        </w:rPr>
        <w:t>): Մահացության ցուցանիշները տատանվում են երկրների միջև</w:t>
      </w:r>
      <w:r w:rsidR="00606E44" w:rsidRPr="00286852">
        <w:rPr>
          <w:rFonts w:ascii="GHEA Grapalat" w:hAnsi="GHEA Grapalat"/>
          <w:sz w:val="24"/>
          <w:szCs w:val="24"/>
          <w:lang w:val="hy-AM"/>
        </w:rPr>
        <w:t xml:space="preserve"> 18-ա</w:t>
      </w:r>
      <w:r w:rsidR="00F266AA" w:rsidRPr="00286852">
        <w:rPr>
          <w:rFonts w:ascii="GHEA Grapalat" w:hAnsi="GHEA Grapalat"/>
          <w:sz w:val="24"/>
          <w:szCs w:val="24"/>
          <w:lang w:val="hy-AM"/>
        </w:rPr>
        <w:t xml:space="preserve">պատիկի չափով՝ տատանվելով </w:t>
      </w:r>
      <w:r w:rsidR="00F266AA" w:rsidRPr="00286852">
        <w:rPr>
          <w:rFonts w:ascii="Courier New" w:hAnsi="Courier New" w:cs="Courier New"/>
          <w:sz w:val="24"/>
          <w:szCs w:val="24"/>
          <w:lang w:val="hy-AM"/>
        </w:rPr>
        <w:t>˂</w:t>
      </w:r>
      <w:r w:rsidR="00F266AA" w:rsidRPr="00286852">
        <w:rPr>
          <w:rFonts w:ascii="GHEA Grapalat" w:hAnsi="GHEA Grapalat"/>
          <w:sz w:val="24"/>
          <w:szCs w:val="24"/>
          <w:lang w:val="hy-AM"/>
        </w:rPr>
        <w:t>2</w:t>
      </w:r>
      <w:r w:rsidRPr="00286852">
        <w:rPr>
          <w:rFonts w:ascii="GHEA Grapalat" w:hAnsi="GHEA Grapalat"/>
          <w:sz w:val="24"/>
          <w:szCs w:val="24"/>
          <w:lang w:val="hy-AM"/>
        </w:rPr>
        <w:t>-ից,</w:t>
      </w:r>
      <w:r w:rsidR="00F266AA" w:rsidRPr="00286852">
        <w:rPr>
          <w:rFonts w:ascii="GHEA Grapalat" w:hAnsi="GHEA Grapalat"/>
          <w:sz w:val="24"/>
          <w:szCs w:val="24"/>
          <w:lang w:val="hy-AM"/>
        </w:rPr>
        <w:t xml:space="preserve">  100 000 </w:t>
      </w:r>
      <w:r w:rsidRPr="00286852">
        <w:rPr>
          <w:rFonts w:ascii="GHEA Grapalat" w:hAnsi="GHEA Grapalat"/>
          <w:sz w:val="24"/>
          <w:szCs w:val="24"/>
          <w:lang w:val="hy-AM"/>
        </w:rPr>
        <w:t>կնոջ հաշվով,</w:t>
      </w:r>
      <w:r w:rsidR="00F266AA" w:rsidRPr="00286852">
        <w:rPr>
          <w:rFonts w:ascii="GHEA Grapalat" w:hAnsi="GHEA Grapalat"/>
          <w:sz w:val="24"/>
          <w:szCs w:val="24"/>
          <w:lang w:val="hy-AM"/>
        </w:rPr>
        <w:t xml:space="preserve"> </w:t>
      </w:r>
      <w:r w:rsidRPr="00286852">
        <w:rPr>
          <w:rFonts w:ascii="GHEA Grapalat" w:hAnsi="GHEA Grapalat"/>
          <w:sz w:val="24"/>
          <w:szCs w:val="24"/>
          <w:lang w:val="hy-AM"/>
        </w:rPr>
        <w:t>զարգացած երկրներում,</w:t>
      </w:r>
      <w:r w:rsidR="00F266AA" w:rsidRPr="00286852">
        <w:rPr>
          <w:rFonts w:ascii="GHEA Grapalat" w:hAnsi="GHEA Grapalat"/>
          <w:sz w:val="24"/>
          <w:szCs w:val="24"/>
          <w:lang w:val="hy-AM"/>
        </w:rPr>
        <w:t xml:space="preserve">  </w:t>
      </w:r>
      <w:r w:rsidRPr="00286852">
        <w:rPr>
          <w:rFonts w:ascii="GHEA Grapalat" w:hAnsi="GHEA Grapalat"/>
          <w:sz w:val="24"/>
          <w:szCs w:val="24"/>
          <w:lang w:val="hy-AM"/>
        </w:rPr>
        <w:t xml:space="preserve">մինչև </w:t>
      </w:r>
      <w:r w:rsidR="00F266AA" w:rsidRPr="00286852">
        <w:rPr>
          <w:rFonts w:ascii="GHEA Grapalat" w:hAnsi="GHEA Grapalat"/>
          <w:sz w:val="24"/>
          <w:szCs w:val="24"/>
          <w:lang w:val="hy-AM"/>
        </w:rPr>
        <w:t xml:space="preserve"> 28</w:t>
      </w:r>
      <w:r w:rsidRPr="00286852">
        <w:rPr>
          <w:rFonts w:ascii="GHEA Grapalat" w:hAnsi="GHEA Grapalat"/>
          <w:sz w:val="24"/>
          <w:szCs w:val="24"/>
          <w:lang w:val="hy-AM"/>
        </w:rPr>
        <w:t>,</w:t>
      </w:r>
      <w:r w:rsidR="00F266AA" w:rsidRPr="00286852">
        <w:rPr>
          <w:rFonts w:ascii="GHEA Grapalat" w:hAnsi="GHEA Grapalat"/>
          <w:sz w:val="24"/>
          <w:szCs w:val="24"/>
          <w:lang w:val="hy-AM"/>
        </w:rPr>
        <w:t xml:space="preserve"> 100 000 </w:t>
      </w:r>
      <w:r w:rsidRPr="00286852">
        <w:rPr>
          <w:rFonts w:ascii="GHEA Grapalat" w:hAnsi="GHEA Grapalat"/>
          <w:sz w:val="24"/>
          <w:szCs w:val="24"/>
          <w:lang w:val="hy-AM"/>
        </w:rPr>
        <w:t>կնոջ հաշվով,</w:t>
      </w:r>
      <w:r w:rsidR="00F266AA" w:rsidRPr="00286852">
        <w:rPr>
          <w:rFonts w:ascii="GHEA Grapalat" w:hAnsi="GHEA Grapalat"/>
          <w:sz w:val="24"/>
          <w:szCs w:val="24"/>
          <w:lang w:val="hy-AM"/>
        </w:rPr>
        <w:t xml:space="preserve"> </w:t>
      </w:r>
      <w:r w:rsidRPr="00286852">
        <w:rPr>
          <w:rFonts w:ascii="GHEA Grapalat" w:hAnsi="GHEA Grapalat"/>
          <w:sz w:val="24"/>
          <w:szCs w:val="24"/>
          <w:lang w:val="hy-AM"/>
        </w:rPr>
        <w:t>որոշ</w:t>
      </w:r>
      <w:r w:rsidR="00F266AA" w:rsidRPr="00286852">
        <w:rPr>
          <w:rFonts w:ascii="GHEA Grapalat" w:hAnsi="GHEA Grapalat"/>
          <w:sz w:val="24"/>
          <w:szCs w:val="24"/>
          <w:lang w:val="hy-AM"/>
        </w:rPr>
        <w:t xml:space="preserve"> զարգաց</w:t>
      </w:r>
      <w:r w:rsidRPr="00286852">
        <w:rPr>
          <w:rFonts w:ascii="GHEA Grapalat" w:hAnsi="GHEA Grapalat"/>
          <w:sz w:val="24"/>
          <w:szCs w:val="24"/>
          <w:lang w:val="hy-AM"/>
        </w:rPr>
        <w:t>ող երկրներում</w:t>
      </w:r>
      <w:r w:rsidR="00F266AA" w:rsidRPr="00286852">
        <w:rPr>
          <w:rFonts w:ascii="GHEA Grapalat" w:hAnsi="GHEA Grapalat"/>
          <w:sz w:val="24"/>
          <w:szCs w:val="24"/>
          <w:lang w:val="hy-AM"/>
        </w:rPr>
        <w:t>:</w:t>
      </w:r>
    </w:p>
    <w:p w:rsidR="005E64F6" w:rsidRPr="00286852" w:rsidRDefault="00F266AA" w:rsidP="00F266AA">
      <w:pPr>
        <w:spacing w:line="360" w:lineRule="auto"/>
        <w:jc w:val="both"/>
        <w:rPr>
          <w:rFonts w:ascii="GHEA Grapalat" w:hAnsi="GHEA Grapalat"/>
          <w:i/>
          <w:sz w:val="24"/>
          <w:szCs w:val="24"/>
          <w:lang w:val="hy-AM"/>
        </w:rPr>
      </w:pPr>
      <w:r w:rsidRPr="00286852">
        <w:rPr>
          <w:rFonts w:ascii="GHEA Grapalat" w:hAnsi="GHEA Grapalat"/>
          <w:i/>
          <w:sz w:val="24"/>
          <w:szCs w:val="24"/>
          <w:lang w:val="hy-AM"/>
        </w:rPr>
        <w:t>Տղամարդկանց և կանանց շրջանում ՄՊՎ</w:t>
      </w:r>
      <w:r w:rsidR="005E64F6" w:rsidRPr="00286852">
        <w:rPr>
          <w:rFonts w:ascii="GHEA Grapalat" w:hAnsi="GHEA Grapalat"/>
          <w:i/>
          <w:sz w:val="24"/>
          <w:szCs w:val="24"/>
          <w:lang w:val="hy-AM"/>
        </w:rPr>
        <w:t>-ով</w:t>
      </w:r>
      <w:r w:rsidRPr="00286852">
        <w:rPr>
          <w:rFonts w:ascii="GHEA Grapalat" w:hAnsi="GHEA Grapalat"/>
          <w:i/>
          <w:sz w:val="24"/>
          <w:szCs w:val="24"/>
          <w:lang w:val="hy-AM"/>
        </w:rPr>
        <w:t xml:space="preserve"> այլ հիվանդություններ</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Անոգենիտալ ՄՊՎ վարակը կարող է հանգեցնել չարորակ </w:t>
      </w:r>
      <w:r w:rsidR="00724E95" w:rsidRPr="00286852">
        <w:rPr>
          <w:rFonts w:ascii="GHEA Grapalat" w:hAnsi="GHEA Grapalat"/>
          <w:sz w:val="24"/>
          <w:szCs w:val="24"/>
          <w:lang w:val="hy-AM"/>
        </w:rPr>
        <w:t>նորագոյացությունների</w:t>
      </w:r>
      <w:r w:rsidRPr="00286852">
        <w:rPr>
          <w:rFonts w:ascii="GHEA Grapalat" w:hAnsi="GHEA Grapalat"/>
          <w:sz w:val="24"/>
          <w:szCs w:val="24"/>
          <w:lang w:val="hy-AM"/>
        </w:rPr>
        <w:t xml:space="preserve">, </w:t>
      </w:r>
      <w:r w:rsidR="00724E95" w:rsidRPr="00286852">
        <w:rPr>
          <w:rFonts w:ascii="GHEA Grapalat" w:hAnsi="GHEA Grapalat"/>
          <w:sz w:val="24"/>
          <w:szCs w:val="24"/>
          <w:lang w:val="hy-AM"/>
        </w:rPr>
        <w:t xml:space="preserve">կամ </w:t>
      </w:r>
      <w:r w:rsidRPr="00286852">
        <w:rPr>
          <w:rFonts w:ascii="GHEA Grapalat" w:hAnsi="GHEA Grapalat"/>
          <w:sz w:val="24"/>
          <w:szCs w:val="24"/>
          <w:lang w:val="hy-AM"/>
        </w:rPr>
        <w:t>մաշկի և լորձաթաղանթ</w:t>
      </w:r>
      <w:r w:rsidR="00724E95" w:rsidRPr="00286852">
        <w:rPr>
          <w:rFonts w:ascii="GHEA Grapalat" w:hAnsi="GHEA Grapalat"/>
          <w:sz w:val="24"/>
          <w:szCs w:val="24"/>
          <w:lang w:val="hy-AM"/>
        </w:rPr>
        <w:t>ների</w:t>
      </w:r>
      <w:r w:rsidRPr="00286852">
        <w:rPr>
          <w:rFonts w:ascii="GHEA Grapalat" w:hAnsi="GHEA Grapalat"/>
          <w:sz w:val="24"/>
          <w:szCs w:val="24"/>
          <w:lang w:val="hy-AM"/>
        </w:rPr>
        <w:t xml:space="preserve"> </w:t>
      </w:r>
      <w:r w:rsidR="00556389" w:rsidRPr="00286852">
        <w:rPr>
          <w:rFonts w:ascii="GHEA Grapalat" w:hAnsi="GHEA Grapalat"/>
          <w:sz w:val="24"/>
          <w:szCs w:val="24"/>
          <w:lang w:val="hy-AM"/>
        </w:rPr>
        <w:t xml:space="preserve">բարորակ </w:t>
      </w:r>
      <w:r w:rsidR="00724E95" w:rsidRPr="00286852">
        <w:rPr>
          <w:rFonts w:ascii="GHEA Grapalat" w:hAnsi="GHEA Grapalat"/>
          <w:sz w:val="24"/>
          <w:szCs w:val="24"/>
          <w:lang w:val="hy-AM"/>
        </w:rPr>
        <w:t>նորագոյացությունների</w:t>
      </w:r>
      <w:r w:rsidR="00556389" w:rsidRPr="00286852">
        <w:rPr>
          <w:rFonts w:ascii="GHEA Grapalat" w:hAnsi="GHEA Grapalat"/>
          <w:sz w:val="24"/>
          <w:szCs w:val="24"/>
          <w:lang w:val="hy-AM"/>
        </w:rPr>
        <w:t>՝</w:t>
      </w:r>
      <w:r w:rsidRPr="00286852">
        <w:rPr>
          <w:rFonts w:ascii="GHEA Grapalat" w:hAnsi="GHEA Grapalat"/>
          <w:sz w:val="24"/>
          <w:szCs w:val="24"/>
          <w:lang w:val="hy-AM"/>
        </w:rPr>
        <w:t xml:space="preserve"> ներառյալ անոգենիտալ </w:t>
      </w:r>
      <w:r w:rsidR="00724E95" w:rsidRPr="00286852">
        <w:rPr>
          <w:rFonts w:ascii="GHEA Grapalat" w:hAnsi="GHEA Grapalat"/>
          <w:sz w:val="24"/>
          <w:szCs w:val="24"/>
          <w:lang w:val="hy-AM"/>
        </w:rPr>
        <w:t>գորտնուկները՝</w:t>
      </w:r>
      <w:r w:rsidRPr="00286852">
        <w:rPr>
          <w:rFonts w:ascii="GHEA Grapalat" w:hAnsi="GHEA Grapalat"/>
          <w:sz w:val="24"/>
          <w:szCs w:val="24"/>
          <w:lang w:val="hy-AM"/>
        </w:rPr>
        <w:t xml:space="preserve"> տղամարդկանց և կանանց շրջանում: ՄՊՎ տարբեր շճատիպեր կարող են առաջացնել անոգենիտալ </w:t>
      </w:r>
      <w:r w:rsidR="00462C26" w:rsidRPr="00286852">
        <w:rPr>
          <w:rFonts w:ascii="GHEA Grapalat" w:hAnsi="GHEA Grapalat"/>
          <w:sz w:val="24"/>
          <w:szCs w:val="24"/>
          <w:lang w:val="hy-AM"/>
        </w:rPr>
        <w:t>գորտնուկներ</w:t>
      </w:r>
      <w:r w:rsidR="000504E9" w:rsidRPr="00286852">
        <w:rPr>
          <w:rFonts w:ascii="GHEA Grapalat" w:hAnsi="GHEA Grapalat"/>
          <w:sz w:val="24"/>
          <w:szCs w:val="24"/>
          <w:lang w:val="hy-AM"/>
        </w:rPr>
        <w:t>: Հ</w:t>
      </w:r>
      <w:r w:rsidRPr="00286852">
        <w:rPr>
          <w:rFonts w:ascii="GHEA Grapalat" w:hAnsi="GHEA Grapalat"/>
          <w:sz w:val="24"/>
          <w:szCs w:val="24"/>
          <w:lang w:val="hy-AM"/>
        </w:rPr>
        <w:t xml:space="preserve">ամաձայն որոշ հետազոտությունների, </w:t>
      </w:r>
      <w:r w:rsidR="000504E9" w:rsidRPr="00286852">
        <w:rPr>
          <w:rFonts w:ascii="GHEA Grapalat" w:hAnsi="GHEA Grapalat"/>
          <w:sz w:val="24"/>
          <w:szCs w:val="24"/>
          <w:lang w:val="hy-AM"/>
        </w:rPr>
        <w:t>անոգենիտալ գորտնուկների</w:t>
      </w:r>
      <w:r w:rsidRPr="00286852">
        <w:rPr>
          <w:rFonts w:ascii="GHEA Grapalat" w:hAnsi="GHEA Grapalat"/>
          <w:sz w:val="24"/>
          <w:szCs w:val="24"/>
          <w:lang w:val="hy-AM"/>
        </w:rPr>
        <w:t xml:space="preserve"> </w:t>
      </w:r>
      <w:r w:rsidR="000504E9" w:rsidRPr="00286852">
        <w:rPr>
          <w:rFonts w:ascii="GHEA Grapalat" w:hAnsi="GHEA Grapalat"/>
          <w:sz w:val="24"/>
          <w:szCs w:val="24"/>
          <w:lang w:val="hy-AM"/>
        </w:rPr>
        <w:t xml:space="preserve">90%-ը պայմանավորված է </w:t>
      </w:r>
      <w:r w:rsidRPr="00286852">
        <w:rPr>
          <w:rFonts w:ascii="GHEA Grapalat" w:hAnsi="GHEA Grapalat"/>
          <w:sz w:val="24"/>
          <w:szCs w:val="24"/>
          <w:lang w:val="hy-AM"/>
        </w:rPr>
        <w:t>ՄՊՎ 6 և  11 շճատիպեր</w:t>
      </w:r>
      <w:r w:rsidR="000504E9" w:rsidRPr="00286852">
        <w:rPr>
          <w:rFonts w:ascii="GHEA Grapalat" w:hAnsi="GHEA Grapalat"/>
          <w:sz w:val="24"/>
          <w:szCs w:val="24"/>
          <w:lang w:val="hy-AM"/>
        </w:rPr>
        <w:t>ով:</w:t>
      </w:r>
    </w:p>
    <w:p w:rsidR="00F266AA" w:rsidRPr="00286852" w:rsidRDefault="00F266AA" w:rsidP="00F266AA">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 xml:space="preserve">Համաշխարհային գնահատականների համակարգված </w:t>
      </w:r>
      <w:r w:rsidR="00E419C9" w:rsidRPr="00286852">
        <w:rPr>
          <w:rFonts w:ascii="GHEA Grapalat" w:hAnsi="GHEA Grapalat"/>
          <w:sz w:val="24"/>
          <w:szCs w:val="24"/>
          <w:lang w:val="hy-AM"/>
        </w:rPr>
        <w:t>ուսումնասիրությունը ցույց է տալիս, որ</w:t>
      </w:r>
      <w:r w:rsidRPr="00286852">
        <w:rPr>
          <w:rFonts w:ascii="GHEA Grapalat" w:hAnsi="GHEA Grapalat"/>
          <w:sz w:val="24"/>
          <w:szCs w:val="24"/>
          <w:lang w:val="hy-AM"/>
        </w:rPr>
        <w:t xml:space="preserve"> </w:t>
      </w:r>
      <w:r w:rsidR="00E419C9" w:rsidRPr="00286852">
        <w:rPr>
          <w:rFonts w:ascii="GHEA Grapalat" w:hAnsi="GHEA Grapalat"/>
          <w:sz w:val="24"/>
          <w:szCs w:val="24"/>
          <w:lang w:val="hy-AM"/>
        </w:rPr>
        <w:t xml:space="preserve">անոգենիտալ գորտնուկներով </w:t>
      </w:r>
      <w:r w:rsidRPr="00286852">
        <w:rPr>
          <w:rFonts w:ascii="GHEA Grapalat" w:hAnsi="GHEA Grapalat"/>
          <w:sz w:val="24"/>
          <w:szCs w:val="24"/>
          <w:lang w:val="hy-AM"/>
        </w:rPr>
        <w:t>տարեկան հիվանդացությ</w:t>
      </w:r>
      <w:r w:rsidR="00E419C9" w:rsidRPr="00286852">
        <w:rPr>
          <w:rFonts w:ascii="GHEA Grapalat" w:hAnsi="GHEA Grapalat"/>
          <w:sz w:val="24"/>
          <w:szCs w:val="24"/>
          <w:lang w:val="hy-AM"/>
        </w:rPr>
        <w:t>ան ցուցանիշը</w:t>
      </w:r>
      <w:r w:rsidRPr="00286852">
        <w:rPr>
          <w:rFonts w:ascii="GHEA Grapalat" w:hAnsi="GHEA Grapalat"/>
          <w:sz w:val="24"/>
          <w:szCs w:val="24"/>
          <w:lang w:val="hy-AM"/>
        </w:rPr>
        <w:t xml:space="preserve">  (տղամարդկանց և կանանց </w:t>
      </w:r>
      <w:r w:rsidR="00E419C9" w:rsidRPr="00286852">
        <w:rPr>
          <w:rFonts w:ascii="GHEA Grapalat" w:hAnsi="GHEA Grapalat"/>
          <w:sz w:val="24"/>
          <w:szCs w:val="24"/>
          <w:lang w:val="hy-AM"/>
        </w:rPr>
        <w:t>շրջանում</w:t>
      </w:r>
      <w:r w:rsidRPr="00286852">
        <w:rPr>
          <w:rFonts w:ascii="GHEA Grapalat" w:hAnsi="GHEA Grapalat"/>
          <w:sz w:val="24"/>
          <w:szCs w:val="24"/>
          <w:lang w:val="hy-AM"/>
        </w:rPr>
        <w:t xml:space="preserve">), այդ թվում, (նոր և կրկնված), տատանվում </w:t>
      </w:r>
      <w:r w:rsidR="00E419C9" w:rsidRPr="00286852">
        <w:rPr>
          <w:rFonts w:ascii="GHEA Grapalat" w:hAnsi="GHEA Grapalat"/>
          <w:sz w:val="24"/>
          <w:szCs w:val="24"/>
          <w:lang w:val="hy-AM"/>
        </w:rPr>
        <w:t>է</w:t>
      </w:r>
      <w:r w:rsidRPr="00286852">
        <w:rPr>
          <w:rFonts w:ascii="GHEA Grapalat" w:hAnsi="GHEA Grapalat"/>
          <w:sz w:val="24"/>
          <w:szCs w:val="24"/>
          <w:lang w:val="hy-AM"/>
        </w:rPr>
        <w:t xml:space="preserve">  160-ից մինչև</w:t>
      </w:r>
      <w:r w:rsidR="00E419C9" w:rsidRPr="00286852">
        <w:rPr>
          <w:rFonts w:ascii="GHEA Grapalat" w:hAnsi="GHEA Grapalat"/>
          <w:sz w:val="24"/>
          <w:szCs w:val="24"/>
          <w:lang w:val="hy-AM"/>
        </w:rPr>
        <w:t xml:space="preserve"> 289, </w:t>
      </w:r>
      <w:r w:rsidRPr="00286852">
        <w:rPr>
          <w:rFonts w:ascii="GHEA Grapalat" w:hAnsi="GHEA Grapalat"/>
          <w:sz w:val="24"/>
          <w:szCs w:val="24"/>
          <w:lang w:val="hy-AM"/>
        </w:rPr>
        <w:t xml:space="preserve">100 000 </w:t>
      </w:r>
      <w:r w:rsidR="00E419C9" w:rsidRPr="00286852">
        <w:rPr>
          <w:rFonts w:ascii="GHEA Grapalat" w:hAnsi="GHEA Grapalat"/>
          <w:sz w:val="24"/>
          <w:szCs w:val="24"/>
          <w:lang w:val="hy-AM"/>
        </w:rPr>
        <w:t>բնակչի հաշվով</w:t>
      </w:r>
      <w:r w:rsidRPr="00286852">
        <w:rPr>
          <w:rFonts w:ascii="GHEA Grapalat" w:hAnsi="GHEA Grapalat"/>
          <w:sz w:val="24"/>
          <w:szCs w:val="24"/>
          <w:lang w:val="hy-AM"/>
        </w:rPr>
        <w:t xml:space="preserve">: </w:t>
      </w:r>
      <w:r w:rsidR="005B63BE" w:rsidRPr="00286852">
        <w:rPr>
          <w:rFonts w:ascii="GHEA Grapalat" w:hAnsi="GHEA Grapalat"/>
          <w:sz w:val="24"/>
          <w:szCs w:val="24"/>
          <w:lang w:val="hy-AM"/>
        </w:rPr>
        <w:t>Ա</w:t>
      </w:r>
      <w:r w:rsidRPr="00286852">
        <w:rPr>
          <w:rFonts w:ascii="GHEA Grapalat" w:hAnsi="GHEA Grapalat"/>
          <w:sz w:val="24"/>
          <w:szCs w:val="24"/>
          <w:lang w:val="hy-AM"/>
        </w:rPr>
        <w:t xml:space="preserve">նոգենիտալ </w:t>
      </w:r>
      <w:r w:rsidR="005B63BE" w:rsidRPr="00286852">
        <w:rPr>
          <w:rFonts w:ascii="GHEA Grapalat" w:hAnsi="GHEA Grapalat"/>
          <w:sz w:val="24"/>
          <w:szCs w:val="24"/>
          <w:lang w:val="hy-AM"/>
        </w:rPr>
        <w:t xml:space="preserve">գորտնուկների նոր դեպքերի </w:t>
      </w:r>
      <w:r w:rsidRPr="00286852">
        <w:rPr>
          <w:rFonts w:ascii="GHEA Grapalat" w:hAnsi="GHEA Grapalat"/>
          <w:sz w:val="24"/>
          <w:szCs w:val="24"/>
          <w:lang w:val="hy-AM"/>
        </w:rPr>
        <w:t xml:space="preserve">միջին </w:t>
      </w:r>
      <w:r w:rsidR="005B63BE" w:rsidRPr="00286852">
        <w:rPr>
          <w:rFonts w:ascii="GHEA Grapalat" w:hAnsi="GHEA Grapalat"/>
          <w:sz w:val="24"/>
          <w:szCs w:val="24"/>
          <w:lang w:val="hy-AM"/>
        </w:rPr>
        <w:t xml:space="preserve">տարեկան </w:t>
      </w:r>
      <w:r w:rsidRPr="00286852">
        <w:rPr>
          <w:rFonts w:ascii="GHEA Grapalat" w:hAnsi="GHEA Grapalat"/>
          <w:sz w:val="24"/>
          <w:szCs w:val="24"/>
          <w:lang w:val="hy-AM"/>
        </w:rPr>
        <w:t>ցուցանիշը կազմել է 137</w:t>
      </w:r>
      <w:r w:rsidR="005B63BE" w:rsidRPr="00286852">
        <w:rPr>
          <w:rFonts w:ascii="GHEA Grapalat" w:hAnsi="GHEA Grapalat"/>
          <w:sz w:val="24"/>
          <w:szCs w:val="24"/>
          <w:lang w:val="hy-AM"/>
        </w:rPr>
        <w:t>,</w:t>
      </w:r>
      <w:r w:rsidRPr="00286852">
        <w:rPr>
          <w:rFonts w:ascii="GHEA Grapalat" w:hAnsi="GHEA Grapalat"/>
          <w:sz w:val="24"/>
          <w:szCs w:val="24"/>
          <w:lang w:val="hy-AM"/>
        </w:rPr>
        <w:t xml:space="preserve"> 100 000 տղամարդու </w:t>
      </w:r>
      <w:r w:rsidR="005B63BE" w:rsidRPr="00286852">
        <w:rPr>
          <w:rFonts w:ascii="GHEA Grapalat" w:hAnsi="GHEA Grapalat"/>
          <w:sz w:val="24"/>
          <w:szCs w:val="24"/>
          <w:lang w:val="hy-AM"/>
        </w:rPr>
        <w:t>հաշվով</w:t>
      </w:r>
      <w:r w:rsidRPr="00286852">
        <w:rPr>
          <w:rFonts w:ascii="GHEA Grapalat" w:hAnsi="GHEA Grapalat"/>
          <w:sz w:val="24"/>
          <w:szCs w:val="24"/>
          <w:lang w:val="hy-AM"/>
        </w:rPr>
        <w:t xml:space="preserve"> և  121</w:t>
      </w:r>
      <w:r w:rsidR="005B63BE" w:rsidRPr="00286852">
        <w:rPr>
          <w:rFonts w:ascii="GHEA Grapalat" w:hAnsi="GHEA Grapalat"/>
          <w:sz w:val="24"/>
          <w:szCs w:val="24"/>
          <w:lang w:val="hy-AM"/>
        </w:rPr>
        <w:t>՝</w:t>
      </w:r>
      <w:r w:rsidRPr="00286852">
        <w:rPr>
          <w:rFonts w:ascii="GHEA Grapalat" w:hAnsi="GHEA Grapalat"/>
          <w:sz w:val="24"/>
          <w:szCs w:val="24"/>
          <w:lang w:val="hy-AM"/>
        </w:rPr>
        <w:t xml:space="preserve">  100 000 կնոջ  </w:t>
      </w:r>
      <w:r w:rsidR="005B63BE" w:rsidRPr="00286852">
        <w:rPr>
          <w:rFonts w:ascii="GHEA Grapalat" w:hAnsi="GHEA Grapalat"/>
          <w:sz w:val="24"/>
          <w:szCs w:val="24"/>
          <w:lang w:val="hy-AM"/>
        </w:rPr>
        <w:t>հաշվով</w:t>
      </w:r>
      <w:r w:rsidRPr="00286852">
        <w:rPr>
          <w:rFonts w:ascii="GHEA Grapalat" w:hAnsi="GHEA Grapalat"/>
          <w:sz w:val="24"/>
          <w:szCs w:val="24"/>
          <w:lang w:val="hy-AM"/>
        </w:rPr>
        <w:t xml:space="preserve">: Բնակչության շրջանում տարածվածության ցուցանիշը տատանվում էր 0.15% </w:t>
      </w:r>
      <w:r w:rsidR="009C4EB0" w:rsidRPr="00286852">
        <w:rPr>
          <w:rFonts w:ascii="GHEA Grapalat" w:hAnsi="GHEA Grapalat"/>
          <w:sz w:val="24"/>
          <w:szCs w:val="24"/>
          <w:lang w:val="hy-AM"/>
        </w:rPr>
        <w:t>-</w:t>
      </w:r>
      <w:r w:rsidRPr="00286852">
        <w:rPr>
          <w:rFonts w:ascii="GHEA Grapalat" w:hAnsi="GHEA Grapalat"/>
          <w:sz w:val="24"/>
          <w:szCs w:val="24"/>
          <w:lang w:val="hy-AM"/>
        </w:rPr>
        <w:t xml:space="preserve"> 0.18%: ՄՊՎ որոշ շճատիպեր</w:t>
      </w:r>
      <w:r w:rsidR="009C4EB0" w:rsidRPr="00286852">
        <w:rPr>
          <w:rFonts w:ascii="GHEA Grapalat" w:hAnsi="GHEA Grapalat"/>
          <w:sz w:val="24"/>
          <w:szCs w:val="24"/>
          <w:lang w:val="hy-AM"/>
        </w:rPr>
        <w:t xml:space="preserve"> </w:t>
      </w:r>
      <w:r w:rsidRPr="00286852">
        <w:rPr>
          <w:rFonts w:ascii="GHEA Grapalat" w:hAnsi="GHEA Grapalat"/>
          <w:sz w:val="24"/>
          <w:szCs w:val="24"/>
          <w:lang w:val="hy-AM"/>
        </w:rPr>
        <w:t xml:space="preserve"> նաև</w:t>
      </w:r>
      <w:r w:rsidR="009C4EB0" w:rsidRPr="00286852">
        <w:rPr>
          <w:rFonts w:ascii="GHEA Grapalat" w:hAnsi="GHEA Grapalat"/>
          <w:sz w:val="24"/>
          <w:szCs w:val="24"/>
          <w:lang w:val="hy-AM"/>
        </w:rPr>
        <w:t xml:space="preserve"> հետանցքի, բկանցքի, </w:t>
      </w:r>
      <w:r w:rsidRPr="00286852">
        <w:rPr>
          <w:rFonts w:ascii="GHEA Grapalat" w:hAnsi="GHEA Grapalat"/>
          <w:sz w:val="24"/>
          <w:szCs w:val="24"/>
          <w:lang w:val="hy-AM"/>
        </w:rPr>
        <w:t xml:space="preserve"> </w:t>
      </w:r>
      <w:r w:rsidR="007918F4" w:rsidRPr="00286852">
        <w:rPr>
          <w:rFonts w:ascii="GHEA Grapalat" w:hAnsi="GHEA Grapalat"/>
          <w:sz w:val="24"/>
          <w:szCs w:val="24"/>
          <w:lang w:val="hy-AM"/>
        </w:rPr>
        <w:t>կանանց արտաքին սեռական օրգանների</w:t>
      </w:r>
      <w:r w:rsidR="00FA6549" w:rsidRPr="00286852">
        <w:rPr>
          <w:rFonts w:ascii="GHEA Grapalat" w:hAnsi="GHEA Grapalat"/>
          <w:sz w:val="24"/>
          <w:szCs w:val="24"/>
          <w:lang w:val="hy-AM"/>
        </w:rPr>
        <w:t xml:space="preserve"> և առնանդամի </w:t>
      </w:r>
      <w:r w:rsidRPr="00286852">
        <w:rPr>
          <w:rFonts w:ascii="GHEA Grapalat" w:hAnsi="GHEA Grapalat"/>
          <w:sz w:val="24"/>
          <w:szCs w:val="24"/>
          <w:lang w:val="hy-AM"/>
        </w:rPr>
        <w:t xml:space="preserve">քաղցկեղի </w:t>
      </w:r>
      <w:r w:rsidR="007918F4" w:rsidRPr="00286852">
        <w:rPr>
          <w:rFonts w:ascii="GHEA Grapalat" w:hAnsi="GHEA Grapalat"/>
          <w:sz w:val="24"/>
          <w:szCs w:val="24"/>
          <w:lang w:val="hy-AM"/>
        </w:rPr>
        <w:t>դեպքերի զգալի մասի պատճառ են հանդիսանում։</w:t>
      </w:r>
      <w:r w:rsidRPr="00286852">
        <w:rPr>
          <w:rFonts w:ascii="GHEA Grapalat" w:hAnsi="GHEA Grapalat"/>
          <w:sz w:val="24"/>
          <w:szCs w:val="24"/>
          <w:lang w:val="hy-AM"/>
        </w:rPr>
        <w:t xml:space="preserve"> ՄՊՎ 16 և 18 շճատիպեր</w:t>
      </w:r>
      <w:r w:rsidR="007918F4" w:rsidRPr="00286852">
        <w:rPr>
          <w:rFonts w:ascii="GHEA Grapalat" w:hAnsi="GHEA Grapalat"/>
          <w:sz w:val="24"/>
          <w:szCs w:val="24"/>
          <w:lang w:val="hy-AM"/>
        </w:rPr>
        <w:t>ը պատասխանատում են</w:t>
      </w:r>
      <w:r w:rsidRPr="00286852">
        <w:rPr>
          <w:rFonts w:ascii="GHEA Grapalat" w:hAnsi="GHEA Grapalat"/>
          <w:sz w:val="24"/>
          <w:szCs w:val="24"/>
          <w:lang w:val="hy-AM"/>
        </w:rPr>
        <w:t xml:space="preserve"> </w:t>
      </w:r>
      <w:r w:rsidR="007918F4" w:rsidRPr="00286852">
        <w:rPr>
          <w:rFonts w:ascii="GHEA Grapalat" w:hAnsi="GHEA Grapalat"/>
          <w:sz w:val="24"/>
          <w:szCs w:val="24"/>
          <w:lang w:val="hy-AM"/>
        </w:rPr>
        <w:t xml:space="preserve">ՄՊՎ-ով պայմանավորված </w:t>
      </w:r>
      <w:r w:rsidRPr="00286852">
        <w:rPr>
          <w:rFonts w:ascii="GHEA Grapalat" w:hAnsi="GHEA Grapalat"/>
          <w:sz w:val="24"/>
          <w:szCs w:val="24"/>
          <w:lang w:val="hy-AM"/>
        </w:rPr>
        <w:t xml:space="preserve">առնանդամի  և </w:t>
      </w:r>
      <w:r w:rsidR="007918F4" w:rsidRPr="00286852">
        <w:rPr>
          <w:rFonts w:ascii="GHEA Grapalat" w:hAnsi="GHEA Grapalat"/>
          <w:sz w:val="24"/>
          <w:szCs w:val="24"/>
          <w:lang w:val="hy-AM"/>
        </w:rPr>
        <w:t>պարանոցի</w:t>
      </w:r>
      <w:r w:rsidRPr="00286852">
        <w:rPr>
          <w:rFonts w:ascii="GHEA Grapalat" w:hAnsi="GHEA Grapalat"/>
          <w:sz w:val="24"/>
          <w:szCs w:val="24"/>
          <w:lang w:val="hy-AM"/>
        </w:rPr>
        <w:t xml:space="preserve"> քաղցկեղների 85% համար, և </w:t>
      </w:r>
      <w:r w:rsidR="007918F4" w:rsidRPr="00286852">
        <w:rPr>
          <w:rFonts w:ascii="GHEA Grapalat" w:hAnsi="GHEA Grapalat"/>
          <w:sz w:val="24"/>
          <w:szCs w:val="24"/>
          <w:lang w:val="hy-AM"/>
        </w:rPr>
        <w:t xml:space="preserve">հետանցքի </w:t>
      </w:r>
      <w:r w:rsidRPr="00286852">
        <w:rPr>
          <w:rFonts w:ascii="GHEA Grapalat" w:hAnsi="GHEA Grapalat"/>
          <w:sz w:val="24"/>
          <w:szCs w:val="24"/>
          <w:lang w:val="hy-AM"/>
        </w:rPr>
        <w:t xml:space="preserve">քազցկեղի </w:t>
      </w:r>
      <w:r w:rsidR="007918F4" w:rsidRPr="00286852">
        <w:rPr>
          <w:rFonts w:ascii="GHEA Grapalat" w:hAnsi="GHEA Grapalat"/>
          <w:sz w:val="24"/>
          <w:szCs w:val="24"/>
          <w:lang w:val="hy-AM"/>
        </w:rPr>
        <w:t xml:space="preserve">դեպքերի </w:t>
      </w:r>
      <w:r w:rsidRPr="00286852">
        <w:rPr>
          <w:rFonts w:ascii="GHEA Grapalat" w:hAnsi="GHEA Grapalat"/>
          <w:sz w:val="24"/>
          <w:szCs w:val="24"/>
          <w:lang w:val="hy-AM"/>
        </w:rPr>
        <w:t xml:space="preserve">87% համար, </w:t>
      </w:r>
      <w:r w:rsidR="007918F4" w:rsidRPr="00286852">
        <w:rPr>
          <w:rFonts w:ascii="GHEA Grapalat" w:hAnsi="GHEA Grapalat"/>
          <w:sz w:val="24"/>
          <w:szCs w:val="24"/>
          <w:lang w:val="hy-AM"/>
        </w:rPr>
        <w:t xml:space="preserve">որոնք ՄՊՎ վարակով պայմանավորված  </w:t>
      </w:r>
      <w:r w:rsidRPr="00286852">
        <w:rPr>
          <w:rFonts w:ascii="GHEA Grapalat" w:hAnsi="GHEA Grapalat"/>
          <w:sz w:val="24"/>
          <w:szCs w:val="24"/>
          <w:lang w:val="hy-AM"/>
        </w:rPr>
        <w:t>երկրորդ և երրորդ ամենատարածված քաղցկեղներ</w:t>
      </w:r>
      <w:r w:rsidR="007918F4" w:rsidRPr="00286852">
        <w:rPr>
          <w:rFonts w:ascii="GHEA Grapalat" w:hAnsi="GHEA Grapalat"/>
          <w:sz w:val="24"/>
          <w:szCs w:val="24"/>
          <w:lang w:val="hy-AM"/>
        </w:rPr>
        <w:t>ն են,</w:t>
      </w:r>
      <w:r w:rsidRPr="00286852">
        <w:rPr>
          <w:rFonts w:ascii="GHEA Grapalat" w:hAnsi="GHEA Grapalat"/>
          <w:sz w:val="24"/>
          <w:szCs w:val="24"/>
          <w:lang w:val="hy-AM"/>
        </w:rPr>
        <w:t xml:space="preserve">  համապատասխանաբար` </w:t>
      </w:r>
      <w:r w:rsidR="00AA48A7" w:rsidRPr="00286852">
        <w:rPr>
          <w:rFonts w:ascii="GHEA Grapalat" w:hAnsi="GHEA Grapalat"/>
          <w:sz w:val="24"/>
          <w:szCs w:val="24"/>
          <w:lang w:val="hy-AM"/>
        </w:rPr>
        <w:t xml:space="preserve">տարեկան </w:t>
      </w:r>
      <w:r w:rsidRPr="00286852">
        <w:rPr>
          <w:rFonts w:ascii="GHEA Grapalat" w:hAnsi="GHEA Grapalat"/>
          <w:sz w:val="24"/>
          <w:szCs w:val="24"/>
          <w:lang w:val="hy-AM"/>
        </w:rPr>
        <w:t xml:space="preserve">38 000 և  35 000 </w:t>
      </w:r>
      <w:r w:rsidR="007918F4" w:rsidRPr="00286852">
        <w:rPr>
          <w:rFonts w:ascii="GHEA Grapalat" w:hAnsi="GHEA Grapalat"/>
          <w:sz w:val="24"/>
          <w:szCs w:val="24"/>
          <w:lang w:val="hy-AM"/>
        </w:rPr>
        <w:t>դեպք</w:t>
      </w:r>
      <w:r w:rsidR="00AA48A7" w:rsidRPr="00286852">
        <w:rPr>
          <w:rFonts w:ascii="GHEA Grapalat" w:hAnsi="GHEA Grapalat"/>
          <w:sz w:val="24"/>
          <w:szCs w:val="24"/>
          <w:lang w:val="hy-AM"/>
        </w:rPr>
        <w:t>։</w:t>
      </w:r>
      <w:r w:rsidRPr="00286852">
        <w:rPr>
          <w:rFonts w:ascii="GHEA Grapalat" w:hAnsi="GHEA Grapalat"/>
          <w:sz w:val="24"/>
          <w:szCs w:val="24"/>
          <w:lang w:val="hy-AM"/>
        </w:rPr>
        <w:t xml:space="preserve"> </w:t>
      </w:r>
    </w:p>
    <w:p w:rsidR="00240A09" w:rsidRPr="00286852" w:rsidRDefault="00240A09" w:rsidP="00240A09">
      <w:pPr>
        <w:spacing w:line="216" w:lineRule="exact"/>
        <w:jc w:val="both"/>
        <w:rPr>
          <w:rFonts w:ascii="GHEA Grapalat" w:hAnsi="GHEA Grapalat"/>
          <w:b/>
          <w:sz w:val="24"/>
          <w:szCs w:val="24"/>
          <w:lang w:val="hy-AM"/>
        </w:rPr>
      </w:pPr>
      <w:r w:rsidRPr="00286852">
        <w:rPr>
          <w:rFonts w:ascii="GHEA Grapalat" w:hAnsi="GHEA Grapalat"/>
          <w:b/>
          <w:sz w:val="24"/>
          <w:szCs w:val="24"/>
          <w:lang w:val="hy-AM"/>
        </w:rPr>
        <w:t>Հարուցիչը</w:t>
      </w:r>
    </w:p>
    <w:p w:rsidR="00BB46A8" w:rsidRPr="00286852" w:rsidRDefault="00BB46A8" w:rsidP="00240A09">
      <w:pPr>
        <w:spacing w:line="360" w:lineRule="auto"/>
        <w:jc w:val="both"/>
        <w:rPr>
          <w:rFonts w:ascii="GHEA Grapalat" w:hAnsi="GHEA Grapalat"/>
          <w:sz w:val="24"/>
          <w:szCs w:val="24"/>
          <w:lang w:val="hy-AM"/>
        </w:rPr>
      </w:pPr>
      <w:r w:rsidRPr="00286852">
        <w:rPr>
          <w:rFonts w:ascii="GHEA Grapalat" w:hAnsi="GHEA Grapalat"/>
          <w:sz w:val="24"/>
          <w:szCs w:val="24"/>
          <w:lang w:val="hy-AM"/>
        </w:rPr>
        <w:t>Մարդու պապիլոմավիրուսները պատկանում են Papillomaviridae ընտանիքին: Վիրիոնները պարունակում են կրկնակի շերտավորված ԴՆԹ գենոմ: Գենետիկական նյութը կցվ</w:t>
      </w:r>
      <w:r w:rsidR="000711A4" w:rsidRPr="00286852">
        <w:rPr>
          <w:rFonts w:ascii="GHEA Grapalat" w:hAnsi="GHEA Grapalat"/>
          <w:sz w:val="24"/>
          <w:szCs w:val="24"/>
          <w:lang w:val="hy-AM"/>
        </w:rPr>
        <w:t>ած</w:t>
      </w:r>
      <w:r w:rsidRPr="00286852">
        <w:rPr>
          <w:rFonts w:ascii="GHEA Grapalat" w:hAnsi="GHEA Grapalat"/>
          <w:sz w:val="24"/>
          <w:szCs w:val="24"/>
          <w:lang w:val="hy-AM"/>
        </w:rPr>
        <w:t xml:space="preserve"> է  </w:t>
      </w:r>
      <w:r w:rsidR="000711A4" w:rsidRPr="00286852">
        <w:rPr>
          <w:rFonts w:ascii="GHEA Grapalat" w:hAnsi="GHEA Grapalat" w:cs="Minion Web"/>
          <w:color w:val="000000"/>
          <w:sz w:val="24"/>
          <w:szCs w:val="24"/>
          <w:lang w:val="hy-AM"/>
        </w:rPr>
        <w:t>կապսիդին</w:t>
      </w:r>
      <w:r w:rsidRPr="00286852">
        <w:rPr>
          <w:rFonts w:ascii="GHEA Grapalat" w:hAnsi="GHEA Grapalat"/>
          <w:sz w:val="24"/>
          <w:szCs w:val="24"/>
          <w:lang w:val="hy-AM"/>
        </w:rPr>
        <w:t xml:space="preserve">, որոնք բաղկացած են խոշոր </w:t>
      </w:r>
      <w:r w:rsidR="00A30414" w:rsidRPr="00286852">
        <w:rPr>
          <w:rFonts w:ascii="GHEA Grapalat" w:hAnsi="GHEA Grapalat"/>
          <w:sz w:val="24"/>
          <w:szCs w:val="24"/>
          <w:lang w:val="hy-AM"/>
        </w:rPr>
        <w:t>և</w:t>
      </w:r>
      <w:r w:rsidRPr="00286852">
        <w:rPr>
          <w:rFonts w:ascii="GHEA Grapalat" w:hAnsi="GHEA Grapalat"/>
          <w:sz w:val="24"/>
          <w:szCs w:val="24"/>
          <w:lang w:val="hy-AM"/>
        </w:rPr>
        <w:t xml:space="preserve"> </w:t>
      </w:r>
      <w:r w:rsidRPr="00286852">
        <w:rPr>
          <w:rFonts w:ascii="GHEA Grapalat" w:hAnsi="GHEA Grapalat"/>
          <w:sz w:val="24"/>
          <w:szCs w:val="24"/>
          <w:lang w:val="hy-AM"/>
        </w:rPr>
        <w:lastRenderedPageBreak/>
        <w:t xml:space="preserve">մանր կառուցվածքային սպիտակուցներից, համապատասխանաբար L1 </w:t>
      </w:r>
      <w:r w:rsidR="00A30414" w:rsidRPr="00286852">
        <w:rPr>
          <w:rFonts w:ascii="GHEA Grapalat" w:hAnsi="GHEA Grapalat"/>
          <w:sz w:val="24"/>
          <w:szCs w:val="24"/>
          <w:lang w:val="hy-AM"/>
        </w:rPr>
        <w:t>և</w:t>
      </w:r>
      <w:r w:rsidRPr="00286852">
        <w:rPr>
          <w:rFonts w:ascii="GHEA Grapalat" w:hAnsi="GHEA Grapalat"/>
          <w:sz w:val="24"/>
          <w:szCs w:val="24"/>
          <w:lang w:val="hy-AM"/>
        </w:rPr>
        <w:t xml:space="preserve"> L2: Հիմք ընդունելով L1-ի </w:t>
      </w:r>
      <w:r w:rsidR="000711A4" w:rsidRPr="00286852">
        <w:rPr>
          <w:rFonts w:ascii="GHEA Grapalat" w:hAnsi="GHEA Grapalat"/>
          <w:sz w:val="24"/>
          <w:szCs w:val="24"/>
          <w:lang w:val="hy-AM"/>
        </w:rPr>
        <w:t xml:space="preserve">սպիտակուցի </w:t>
      </w:r>
      <w:r w:rsidRPr="00286852">
        <w:rPr>
          <w:rFonts w:ascii="GHEA Grapalat" w:hAnsi="GHEA Grapalat"/>
          <w:sz w:val="24"/>
          <w:szCs w:val="24"/>
          <w:lang w:val="hy-AM"/>
        </w:rPr>
        <w:t>գենոմային հաջորդականությ</w:t>
      </w:r>
      <w:r w:rsidR="000711A4" w:rsidRPr="00286852">
        <w:rPr>
          <w:rFonts w:ascii="GHEA Grapalat" w:hAnsi="GHEA Grapalat"/>
          <w:sz w:val="24"/>
          <w:szCs w:val="24"/>
          <w:lang w:val="hy-AM"/>
        </w:rPr>
        <w:t>ու</w:t>
      </w:r>
      <w:r w:rsidRPr="00286852">
        <w:rPr>
          <w:rFonts w:ascii="GHEA Grapalat" w:hAnsi="GHEA Grapalat"/>
          <w:sz w:val="24"/>
          <w:szCs w:val="24"/>
          <w:lang w:val="hy-AM"/>
        </w:rPr>
        <w:t>ն</w:t>
      </w:r>
      <w:r w:rsidR="000711A4" w:rsidRPr="00286852">
        <w:rPr>
          <w:rFonts w:ascii="GHEA Grapalat" w:hAnsi="GHEA Grapalat"/>
          <w:sz w:val="24"/>
          <w:szCs w:val="24"/>
          <w:lang w:val="hy-AM"/>
        </w:rPr>
        <w:t>ը</w:t>
      </w:r>
      <w:r w:rsidRPr="00286852">
        <w:rPr>
          <w:rFonts w:ascii="GHEA Grapalat" w:hAnsi="GHEA Grapalat"/>
          <w:sz w:val="24"/>
          <w:szCs w:val="24"/>
          <w:lang w:val="hy-AM"/>
        </w:rPr>
        <w:t>,</w:t>
      </w:r>
      <w:r w:rsidR="00A30414" w:rsidRPr="00286852">
        <w:rPr>
          <w:rFonts w:ascii="GHEA Grapalat" w:hAnsi="GHEA Grapalat"/>
          <w:sz w:val="24"/>
          <w:szCs w:val="24"/>
          <w:lang w:val="hy-AM"/>
        </w:rPr>
        <w:t xml:space="preserve"> </w:t>
      </w:r>
      <w:r w:rsidRPr="00286852">
        <w:rPr>
          <w:rFonts w:ascii="GHEA Grapalat" w:hAnsi="GHEA Grapalat"/>
          <w:sz w:val="24"/>
          <w:szCs w:val="24"/>
          <w:lang w:val="hy-AM"/>
        </w:rPr>
        <w:t>որը կոդավորում է կասպիդ</w:t>
      </w:r>
      <w:r w:rsidR="00A30414" w:rsidRPr="00286852">
        <w:rPr>
          <w:rFonts w:ascii="GHEA Grapalat" w:hAnsi="GHEA Grapalat"/>
          <w:sz w:val="24"/>
          <w:szCs w:val="24"/>
          <w:lang w:val="hy-AM"/>
        </w:rPr>
        <w:t>ային</w:t>
      </w:r>
      <w:r w:rsidRPr="00286852">
        <w:rPr>
          <w:rFonts w:ascii="GHEA Grapalat" w:hAnsi="GHEA Grapalat"/>
          <w:sz w:val="24"/>
          <w:szCs w:val="24"/>
          <w:lang w:val="hy-AM"/>
        </w:rPr>
        <w:t xml:space="preserve"> սպիտակուցը, հայտնաբերվել </w:t>
      </w:r>
      <w:r w:rsidR="000711A4" w:rsidRPr="00286852">
        <w:rPr>
          <w:rFonts w:ascii="GHEA Grapalat" w:hAnsi="GHEA Grapalat"/>
          <w:sz w:val="24"/>
          <w:szCs w:val="24"/>
          <w:lang w:val="hy-AM"/>
        </w:rPr>
        <w:t xml:space="preserve">են </w:t>
      </w:r>
      <w:r w:rsidRPr="00286852">
        <w:rPr>
          <w:rFonts w:ascii="GHEA Grapalat" w:hAnsi="GHEA Grapalat"/>
          <w:sz w:val="24"/>
          <w:szCs w:val="24"/>
          <w:lang w:val="hy-AM"/>
        </w:rPr>
        <w:t>ավելի քան 200 ՄՊՎ-ի  մեկուսացած պապիլոմավիրուսներ</w:t>
      </w:r>
      <w:r w:rsidR="000711A4" w:rsidRPr="00286852">
        <w:rPr>
          <w:rFonts w:ascii="GHEA Grapalat" w:hAnsi="GHEA Grapalat"/>
          <w:sz w:val="24"/>
          <w:szCs w:val="24"/>
          <w:lang w:val="hy-AM"/>
        </w:rPr>
        <w:t xml:space="preserve"> </w:t>
      </w:r>
      <w:r w:rsidRPr="00286852">
        <w:rPr>
          <w:rFonts w:ascii="GHEA Grapalat" w:hAnsi="GHEA Grapalat"/>
          <w:sz w:val="24"/>
          <w:szCs w:val="24"/>
          <w:lang w:val="hy-AM"/>
        </w:rPr>
        <w:t xml:space="preserve">հանդիսանալով որպես «տեսակներ» </w:t>
      </w:r>
      <w:r w:rsidR="000711A4" w:rsidRPr="00286852">
        <w:rPr>
          <w:rFonts w:ascii="GHEA Grapalat" w:hAnsi="GHEA Grapalat"/>
          <w:sz w:val="24"/>
          <w:szCs w:val="24"/>
          <w:lang w:val="hy-AM"/>
        </w:rPr>
        <w:t xml:space="preserve">23,23: </w:t>
      </w:r>
      <w:r w:rsidRPr="00286852">
        <w:rPr>
          <w:rFonts w:ascii="GHEA Grapalat" w:hAnsi="GHEA Grapalat"/>
          <w:sz w:val="24"/>
          <w:szCs w:val="24"/>
          <w:lang w:val="hy-AM"/>
        </w:rPr>
        <w:t xml:space="preserve">ՄՊՎ-ի տեսակները կարող են դասակարգվել տարբեր ձևերով, ներառելով մարմնի այն մասերը, որ յուրաքանչյուր վիրուս հակված է </w:t>
      </w:r>
      <w:r w:rsidR="000711A4" w:rsidRPr="00286852">
        <w:rPr>
          <w:rFonts w:ascii="GHEA Grapalat" w:hAnsi="GHEA Grapalat"/>
          <w:sz w:val="24"/>
          <w:szCs w:val="24"/>
          <w:lang w:val="hy-AM"/>
        </w:rPr>
        <w:t>ախտահար</w:t>
      </w:r>
      <w:r w:rsidRPr="00286852">
        <w:rPr>
          <w:rFonts w:ascii="GHEA Grapalat" w:hAnsi="GHEA Grapalat"/>
          <w:sz w:val="24"/>
          <w:szCs w:val="24"/>
          <w:lang w:val="hy-AM"/>
        </w:rPr>
        <w:t xml:space="preserve">ել և առաջացնել քաղցկեղ (բարձր և ցածր ռիսկի տեսակներ): Քաղցկեղի հետազոտման միջազգային գործակալությունը ներկայումս սահմանում է  </w:t>
      </w:r>
      <w:r w:rsidR="000711A4" w:rsidRPr="00286852">
        <w:rPr>
          <w:rFonts w:ascii="GHEA Grapalat" w:hAnsi="GHEA Grapalat"/>
          <w:sz w:val="24"/>
          <w:szCs w:val="24"/>
          <w:lang w:val="hy-AM"/>
        </w:rPr>
        <w:t xml:space="preserve">ՄՊՎ-ի </w:t>
      </w:r>
      <w:r w:rsidRPr="00286852">
        <w:rPr>
          <w:rFonts w:ascii="GHEA Grapalat" w:hAnsi="GHEA Grapalat"/>
          <w:sz w:val="24"/>
          <w:szCs w:val="24"/>
          <w:lang w:val="hy-AM"/>
        </w:rPr>
        <w:t xml:space="preserve">բարձր ռիսկային </w:t>
      </w:r>
      <w:r w:rsidR="000711A4" w:rsidRPr="00286852">
        <w:rPr>
          <w:rFonts w:ascii="GHEA Grapalat" w:hAnsi="GHEA Grapalat"/>
          <w:sz w:val="24"/>
          <w:szCs w:val="24"/>
          <w:lang w:val="hy-AM"/>
        </w:rPr>
        <w:t xml:space="preserve">12 </w:t>
      </w:r>
      <w:r w:rsidRPr="00286852">
        <w:rPr>
          <w:rFonts w:ascii="GHEA Grapalat" w:hAnsi="GHEA Grapalat"/>
          <w:sz w:val="24"/>
          <w:szCs w:val="24"/>
          <w:lang w:val="hy-AM"/>
        </w:rPr>
        <w:t>տեսակներ</w:t>
      </w:r>
      <w:r w:rsidR="000711A4" w:rsidRPr="00286852">
        <w:rPr>
          <w:rFonts w:ascii="GHEA Grapalat" w:hAnsi="GHEA Grapalat"/>
          <w:sz w:val="24"/>
          <w:szCs w:val="24"/>
          <w:lang w:val="hy-AM"/>
        </w:rPr>
        <w:t xml:space="preserve"> </w:t>
      </w:r>
      <w:r w:rsidRPr="00286852">
        <w:rPr>
          <w:rFonts w:ascii="GHEA Grapalat" w:hAnsi="GHEA Grapalat"/>
          <w:sz w:val="24"/>
          <w:szCs w:val="24"/>
          <w:lang w:val="hy-AM"/>
        </w:rPr>
        <w:t xml:space="preserve">(տեսակներ 16, 18, 31, 33, 35, 39, 45, 51, 52, 56, 58, 59) և լրացուցիչ տեսակները, որոնց համար կան քաղցկեղային անբավարարություն (տեսակներ 68 </w:t>
      </w:r>
      <w:r w:rsidR="000711A4" w:rsidRPr="00286852">
        <w:rPr>
          <w:rFonts w:ascii="GHEA Grapalat" w:hAnsi="GHEA Grapalat"/>
          <w:sz w:val="24"/>
          <w:szCs w:val="24"/>
          <w:lang w:val="hy-AM"/>
        </w:rPr>
        <w:t>և</w:t>
      </w:r>
      <w:r w:rsidRPr="00286852">
        <w:rPr>
          <w:rFonts w:ascii="GHEA Grapalat" w:hAnsi="GHEA Grapalat"/>
          <w:sz w:val="24"/>
          <w:szCs w:val="24"/>
          <w:lang w:val="hy-AM"/>
        </w:rPr>
        <w:t xml:space="preserve"> 73):</w:t>
      </w:r>
    </w:p>
    <w:p w:rsidR="00BB46A8" w:rsidRPr="00286852" w:rsidRDefault="00BB46A8" w:rsidP="00BB46A8">
      <w:pPr>
        <w:jc w:val="both"/>
        <w:rPr>
          <w:rFonts w:ascii="GHEA Grapalat" w:hAnsi="GHEA Grapalat"/>
          <w:b/>
          <w:sz w:val="24"/>
          <w:szCs w:val="24"/>
          <w:lang w:val="hy-AM"/>
        </w:rPr>
      </w:pPr>
      <w:r w:rsidRPr="00286852">
        <w:rPr>
          <w:rFonts w:ascii="GHEA Grapalat" w:hAnsi="GHEA Grapalat"/>
          <w:b/>
          <w:sz w:val="24"/>
          <w:szCs w:val="24"/>
          <w:lang w:val="hy-AM"/>
        </w:rPr>
        <w:t>Հիվանդություն</w:t>
      </w:r>
    </w:p>
    <w:p w:rsidR="00BB46A8" w:rsidRPr="00286852" w:rsidRDefault="00BB46A8" w:rsidP="00A30414">
      <w:pPr>
        <w:spacing w:line="360" w:lineRule="auto"/>
        <w:jc w:val="both"/>
        <w:rPr>
          <w:rFonts w:ascii="GHEA Grapalat" w:hAnsi="GHEA Grapalat"/>
          <w:sz w:val="24"/>
          <w:szCs w:val="24"/>
          <w:lang w:val="hy-AM"/>
        </w:rPr>
      </w:pPr>
      <w:r w:rsidRPr="00286852">
        <w:rPr>
          <w:rFonts w:ascii="GHEA Grapalat" w:hAnsi="GHEA Grapalat"/>
          <w:sz w:val="24"/>
          <w:szCs w:val="24"/>
          <w:lang w:val="hy-AM"/>
        </w:rPr>
        <w:t>ՄՊՎ-ի վիրուսները տարածվում են սեռական օրգանների, լորձաթաղանթների կամ մարդու կենսաբանական հեղուկների հետ շփման միջոցով և կարող են փոխանցվել սեռական հարաբերության միջոցով: ՄՊՎ-ի վարակների մեծ մասը (70-90%) անախտանիշ է և 1-2 տարում ինքնաբերաբար վերանում են</w:t>
      </w:r>
      <w:r w:rsidR="00A30414" w:rsidRPr="00286852">
        <w:rPr>
          <w:rFonts w:ascii="GHEA Grapalat" w:hAnsi="GHEA Grapalat"/>
          <w:sz w:val="24"/>
          <w:szCs w:val="24"/>
          <w:lang w:val="hy-AM"/>
        </w:rPr>
        <w:t>,</w:t>
      </w:r>
      <w:r w:rsidRPr="00286852">
        <w:rPr>
          <w:rFonts w:ascii="GHEA Grapalat" w:hAnsi="GHEA Grapalat"/>
          <w:sz w:val="24"/>
          <w:szCs w:val="24"/>
          <w:lang w:val="hy-AM"/>
        </w:rPr>
        <w:t xml:space="preserve"> եթե չի հայտնաբերվել և պատշաճ կերպով բուժվել, բարձր ռիսկային տեսակների հետ համակցված վարակը կարող է </w:t>
      </w:r>
      <w:r w:rsidRPr="00286852">
        <w:rPr>
          <w:rFonts w:ascii="GHEA Grapalat" w:hAnsi="GHEA Grapalat"/>
          <w:sz w:val="24"/>
          <w:szCs w:val="24"/>
          <w:lang w:val="hy-AM"/>
        </w:rPr>
        <w:lastRenderedPageBreak/>
        <w:t xml:space="preserve">առաջանալ ինվազիվ քաղցկեղով վարակման վայրում `հիմնականում սեռական ուղիներից: </w:t>
      </w:r>
      <w:r w:rsidR="00A30414" w:rsidRPr="00286852">
        <w:rPr>
          <w:rFonts w:ascii="GHEA Grapalat" w:hAnsi="GHEA Grapalat"/>
          <w:sz w:val="24"/>
          <w:szCs w:val="24"/>
          <w:lang w:val="hy-AM"/>
        </w:rPr>
        <w:t>Հ</w:t>
      </w:r>
      <w:r w:rsidRPr="00286852">
        <w:rPr>
          <w:rFonts w:ascii="GHEA Grapalat" w:hAnsi="GHEA Grapalat"/>
          <w:sz w:val="24"/>
          <w:szCs w:val="24"/>
          <w:lang w:val="hy-AM"/>
        </w:rPr>
        <w:t>ամակցված վարակը կարող է առաջանալ ինվազիվ քաղցկեղով վարակման վայրում `հիմնականում սեռական ուղիներից: Կայուն ՄՊՎ վարակը արգանդի պարանոցի քաղցկեղի հիմնական պատճառ է 15):        Անկայուն ՄՊՎ-ի վարակը որոշվում է տիպային հատուկ ՄՊՎ ԴՆԹ-ի առկայությունը կրկնակի կլինիկական կենսաբանական նմուշների հետազոտման միջոցով, սովորաբար 6 ամիս, չնայած այս ժամանակահատվածը ընդունված չէ (24-25): Վարակված կանանց մոտ 5-10% -ի մոտ զարգացել է քրոնիկական հիվանդություն:</w:t>
      </w:r>
      <w:r w:rsidR="00A30414" w:rsidRPr="00286852">
        <w:rPr>
          <w:rFonts w:ascii="GHEA Grapalat" w:hAnsi="GHEA Grapalat"/>
          <w:sz w:val="24"/>
          <w:szCs w:val="24"/>
          <w:lang w:val="hy-AM"/>
        </w:rPr>
        <w:t xml:space="preserve"> </w:t>
      </w:r>
      <w:r w:rsidRPr="00286852">
        <w:rPr>
          <w:rFonts w:ascii="GHEA Grapalat" w:hAnsi="GHEA Grapalat"/>
          <w:sz w:val="24"/>
          <w:szCs w:val="24"/>
          <w:lang w:val="hy-AM"/>
        </w:rPr>
        <w:t xml:space="preserve">Քրոնիկ վարակները ամիսների կամ տարիների րնթացքում կարող են առաջացնել պրոլալինյան գլանային կամ սկավառակային ներէպիթելիային վնասվածքներ, արգանդի պարանոցի ներէպիթելիային նեոպլազիա </w:t>
      </w:r>
      <w:r w:rsidR="00A30414" w:rsidRPr="00286852">
        <w:rPr>
          <w:rFonts w:ascii="GHEA Grapalat" w:hAnsi="GHEA Grapalat"/>
          <w:sz w:val="24"/>
          <w:szCs w:val="24"/>
          <w:lang w:val="hy-AM"/>
        </w:rPr>
        <w:t>և</w:t>
      </w:r>
      <w:r w:rsidRPr="00286852">
        <w:rPr>
          <w:rFonts w:ascii="GHEA Grapalat" w:hAnsi="GHEA Grapalat"/>
          <w:sz w:val="24"/>
          <w:szCs w:val="24"/>
          <w:lang w:val="hy-AM"/>
        </w:rPr>
        <w:t xml:space="preserve"> քաղցկեղ: Արգանդի պարանոցի ներէպիթելիային նեոպլազիան այսուհետև դասակարգվում է թեթև դիսպլազիա, միջին  դիսպլազիա և  ծանր դիսպլազիա: Արգանդի պարանոցի ներէպիթելիային նեոպլազիաներ</w:t>
      </w:r>
      <w:r w:rsidR="00A30414" w:rsidRPr="00286852">
        <w:rPr>
          <w:rFonts w:ascii="GHEA Grapalat" w:hAnsi="GHEA Grapalat"/>
          <w:sz w:val="24"/>
          <w:szCs w:val="24"/>
          <w:lang w:val="hy-AM"/>
        </w:rPr>
        <w:t>ը</w:t>
      </w:r>
      <w:r w:rsidRPr="00286852">
        <w:rPr>
          <w:rFonts w:ascii="GHEA Grapalat" w:hAnsi="GHEA Grapalat"/>
          <w:sz w:val="24"/>
          <w:szCs w:val="24"/>
          <w:lang w:val="hy-AM"/>
        </w:rPr>
        <w:t xml:space="preserve"> շատ հաճախ վերանում են ինքնաբերաբար</w:t>
      </w:r>
      <w:r w:rsidR="00A30414" w:rsidRPr="00286852">
        <w:rPr>
          <w:rFonts w:ascii="GHEA Grapalat" w:hAnsi="GHEA Grapalat"/>
          <w:sz w:val="24"/>
          <w:szCs w:val="24"/>
          <w:lang w:val="hy-AM"/>
        </w:rPr>
        <w:t>:</w:t>
      </w:r>
      <w:r w:rsidRPr="00286852">
        <w:rPr>
          <w:rFonts w:ascii="GHEA Grapalat" w:hAnsi="GHEA Grapalat"/>
          <w:sz w:val="24"/>
          <w:szCs w:val="24"/>
          <w:lang w:val="hy-AM"/>
        </w:rPr>
        <w:t xml:space="preserve"> </w:t>
      </w:r>
      <w:r w:rsidR="00A30414" w:rsidRPr="00286852">
        <w:rPr>
          <w:rFonts w:ascii="GHEA Grapalat" w:hAnsi="GHEA Grapalat"/>
          <w:sz w:val="24"/>
          <w:szCs w:val="24"/>
          <w:lang w:val="hy-AM"/>
        </w:rPr>
        <w:t>Սակայն</w:t>
      </w:r>
      <w:r w:rsidRPr="00286852">
        <w:rPr>
          <w:rFonts w:ascii="GHEA Grapalat" w:hAnsi="GHEA Grapalat"/>
          <w:sz w:val="24"/>
          <w:szCs w:val="24"/>
          <w:lang w:val="hy-AM"/>
        </w:rPr>
        <w:t xml:space="preserve">, </w:t>
      </w:r>
      <w:r w:rsidR="00A30414" w:rsidRPr="00286852">
        <w:rPr>
          <w:rFonts w:ascii="GHEA Grapalat" w:hAnsi="GHEA Grapalat"/>
          <w:sz w:val="24"/>
          <w:szCs w:val="24"/>
          <w:lang w:val="hy-AM"/>
        </w:rPr>
        <w:t xml:space="preserve">արգանդի պարանոցի ախտահարումները </w:t>
      </w:r>
      <w:r w:rsidRPr="00286852">
        <w:rPr>
          <w:rFonts w:ascii="GHEA Grapalat" w:hAnsi="GHEA Grapalat"/>
          <w:sz w:val="24"/>
          <w:szCs w:val="24"/>
          <w:lang w:val="hy-AM"/>
        </w:rPr>
        <w:t xml:space="preserve">մի քանի տարիների ընթացքում կարող են աստիճանաբար </w:t>
      </w:r>
      <w:r w:rsidR="00A30414" w:rsidRPr="00286852">
        <w:rPr>
          <w:rFonts w:ascii="GHEA Grapalat" w:hAnsi="GHEA Grapalat"/>
          <w:sz w:val="24"/>
          <w:szCs w:val="24"/>
          <w:lang w:val="hy-AM"/>
        </w:rPr>
        <w:t xml:space="preserve">վերածվել </w:t>
      </w:r>
      <w:r w:rsidRPr="00286852">
        <w:rPr>
          <w:rFonts w:ascii="GHEA Grapalat" w:hAnsi="GHEA Grapalat"/>
          <w:sz w:val="24"/>
          <w:szCs w:val="24"/>
          <w:lang w:val="hy-AM"/>
        </w:rPr>
        <w:t>քաղցկեղի:</w:t>
      </w:r>
    </w:p>
    <w:p w:rsidR="00BB46A8" w:rsidRPr="00286852" w:rsidRDefault="00BB46A8" w:rsidP="00A30414">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 xml:space="preserve">ՄՊՎ վարակի ձեռքբերման և ինվազիվ քաղցկեղի առաջացման միջև ընդմիջումը սովորաբար 20 տարի է կամ ավելի երկար: </w:t>
      </w:r>
      <w:r w:rsidR="00A30414" w:rsidRPr="00286852">
        <w:rPr>
          <w:rFonts w:ascii="GHEA Grapalat" w:hAnsi="GHEA Grapalat"/>
          <w:sz w:val="24"/>
          <w:szCs w:val="24"/>
          <w:lang w:val="hy-AM"/>
        </w:rPr>
        <w:t>Քաղցկեղի զարգացման</w:t>
      </w:r>
      <w:r w:rsidRPr="00286852">
        <w:rPr>
          <w:rFonts w:ascii="GHEA Grapalat" w:hAnsi="GHEA Grapalat"/>
          <w:sz w:val="24"/>
          <w:szCs w:val="24"/>
          <w:lang w:val="hy-AM"/>
        </w:rPr>
        <w:t xml:space="preserve"> հիմքը հասկանալի չէ, սակայն </w:t>
      </w:r>
      <w:r w:rsidR="00A30414" w:rsidRPr="00286852">
        <w:rPr>
          <w:rFonts w:ascii="GHEA Grapalat" w:hAnsi="GHEA Grapalat"/>
          <w:sz w:val="24"/>
          <w:szCs w:val="24"/>
          <w:lang w:val="hy-AM"/>
        </w:rPr>
        <w:t>նպաստավոր պայմանները</w:t>
      </w:r>
      <w:r w:rsidRPr="00286852">
        <w:rPr>
          <w:rFonts w:ascii="GHEA Grapalat" w:hAnsi="GHEA Grapalat"/>
          <w:sz w:val="24"/>
          <w:szCs w:val="24"/>
          <w:lang w:val="hy-AM"/>
        </w:rPr>
        <w:t xml:space="preserve"> և ռիսկի գործոնները</w:t>
      </w:r>
      <w:r w:rsidR="00A30414" w:rsidRPr="00286852">
        <w:rPr>
          <w:rFonts w:ascii="GHEA Grapalat" w:hAnsi="GHEA Grapalat"/>
          <w:sz w:val="24"/>
          <w:szCs w:val="24"/>
          <w:lang w:val="hy-AM"/>
        </w:rPr>
        <w:t xml:space="preserve">, որոնք </w:t>
      </w:r>
      <w:r w:rsidRPr="00286852">
        <w:rPr>
          <w:rFonts w:ascii="GHEA Grapalat" w:hAnsi="GHEA Grapalat"/>
          <w:sz w:val="24"/>
          <w:szCs w:val="24"/>
          <w:lang w:val="hy-AM"/>
        </w:rPr>
        <w:t xml:space="preserve">ներառում են ՄՊՎ-ի տեսակը, իմունային կարգավիճակը (իմունային </w:t>
      </w:r>
      <w:r w:rsidR="00A30414" w:rsidRPr="00286852">
        <w:rPr>
          <w:rFonts w:ascii="GHEA Grapalat" w:hAnsi="GHEA Grapalat"/>
          <w:sz w:val="24"/>
          <w:szCs w:val="24"/>
          <w:lang w:val="hy-AM"/>
        </w:rPr>
        <w:t>անբավարարություն</w:t>
      </w:r>
      <w:r w:rsidRPr="00286852">
        <w:rPr>
          <w:rFonts w:ascii="GHEA Grapalat" w:hAnsi="GHEA Grapalat"/>
          <w:sz w:val="24"/>
          <w:szCs w:val="24"/>
          <w:lang w:val="hy-AM"/>
        </w:rPr>
        <w:t xml:space="preserve">, ՄԻԱՎ վարակակ կամ իմունոսուպրեսիվ թերապիա), </w:t>
      </w:r>
      <w:r w:rsidR="00394279" w:rsidRPr="00286852">
        <w:rPr>
          <w:rFonts w:ascii="GHEA Grapalat" w:hAnsi="GHEA Grapalat"/>
          <w:sz w:val="24"/>
          <w:szCs w:val="24"/>
          <w:lang w:val="hy-AM"/>
        </w:rPr>
        <w:t xml:space="preserve">այլ </w:t>
      </w:r>
      <w:r w:rsidRPr="00286852">
        <w:rPr>
          <w:rFonts w:ascii="GHEA Grapalat" w:hAnsi="GHEA Grapalat"/>
          <w:sz w:val="24"/>
          <w:szCs w:val="24"/>
          <w:lang w:val="hy-AM"/>
        </w:rPr>
        <w:t>վարակ</w:t>
      </w:r>
      <w:r w:rsidR="00394279" w:rsidRPr="00286852">
        <w:rPr>
          <w:rFonts w:ascii="GHEA Grapalat" w:hAnsi="GHEA Grapalat"/>
          <w:sz w:val="24"/>
          <w:szCs w:val="24"/>
          <w:lang w:val="hy-AM"/>
        </w:rPr>
        <w:t>ներ</w:t>
      </w:r>
      <w:r w:rsidRPr="00286852">
        <w:rPr>
          <w:rFonts w:ascii="GHEA Grapalat" w:hAnsi="GHEA Grapalat"/>
          <w:sz w:val="24"/>
          <w:szCs w:val="24"/>
          <w:lang w:val="hy-AM"/>
        </w:rPr>
        <w:t xml:space="preserve"> (</w:t>
      </w:r>
      <w:r w:rsidR="00394279" w:rsidRPr="00286852">
        <w:rPr>
          <w:rFonts w:ascii="GHEA Grapalat" w:hAnsi="GHEA Grapalat"/>
          <w:sz w:val="24"/>
          <w:szCs w:val="24"/>
          <w:lang w:val="hy-AM"/>
        </w:rPr>
        <w:t>հերպես, քլամիդիոզ, սուսանակ</w:t>
      </w:r>
      <w:r w:rsidRPr="00286852">
        <w:rPr>
          <w:rFonts w:ascii="GHEA Grapalat" w:hAnsi="GHEA Grapalat"/>
          <w:sz w:val="24"/>
          <w:szCs w:val="24"/>
          <w:lang w:val="hy-AM"/>
        </w:rPr>
        <w:t>), զուգահեռ երիտասարդ տարիքը, առաջին հղիությունը և ծխելը</w:t>
      </w:r>
      <w:r w:rsidR="00394279" w:rsidRPr="00286852">
        <w:rPr>
          <w:rFonts w:ascii="GHEA Grapalat" w:hAnsi="GHEA Grapalat"/>
          <w:sz w:val="24"/>
          <w:szCs w:val="24"/>
          <w:lang w:val="hy-AM"/>
        </w:rPr>
        <w:t xml:space="preserve"> նպաստում են քաղցկեղի զարգացմանը</w:t>
      </w:r>
      <w:r w:rsidRPr="00286852">
        <w:rPr>
          <w:rFonts w:ascii="GHEA Grapalat" w:hAnsi="GHEA Grapalat"/>
          <w:sz w:val="24"/>
          <w:szCs w:val="24"/>
          <w:lang w:val="hy-AM"/>
        </w:rPr>
        <w:t>: ՄԻԱՎ-ով վարակված կանայք խոցելի են ՄՊՎ-ի վարակի նկատմամբ, նրանց մոտ արգանդի պարանոցի ներէպիթելիային նեոպլազիաների և արգանդի պարանոցի քաղցկեղի առաջացման ռիսկը բարձր է (26):</w:t>
      </w:r>
    </w:p>
    <w:p w:rsidR="00BB46A8" w:rsidRPr="00286852" w:rsidRDefault="00BB46A8" w:rsidP="00597490">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ՄՊՎ վարակի ցածր ռիսկային տեսակներն առաջացնում է կանանց և տղամարդկանց մոտ սեռական կանդիլոմաներ կամ սեռական գորտնուկներ: Դրանցից ավելի քան 90% -ը կապված են 6 և 11-րդ տիպի տեսակների հետ: 6 կամ 11-րդ տեսակների վարակվածության դեպքերում </w:t>
      </w:r>
      <w:r w:rsidR="00597490" w:rsidRPr="00286852">
        <w:rPr>
          <w:rFonts w:ascii="GHEA Grapalat" w:hAnsi="GHEA Grapalat"/>
          <w:sz w:val="24"/>
          <w:szCs w:val="24"/>
          <w:lang w:val="hy-AM"/>
        </w:rPr>
        <w:t>անոգենիտալ</w:t>
      </w:r>
      <w:r w:rsidRPr="00286852">
        <w:rPr>
          <w:rFonts w:ascii="GHEA Grapalat" w:hAnsi="GHEA Grapalat"/>
          <w:sz w:val="24"/>
          <w:szCs w:val="24"/>
          <w:lang w:val="hy-AM"/>
        </w:rPr>
        <w:t xml:space="preserve"> գորտնուկները տղամարդկանց մոտ զարգանում են 11-12 ամսվա ընթացքում, իսկ կանանց մոտ` 5-6 (21): </w:t>
      </w:r>
      <w:r w:rsidR="00597490" w:rsidRPr="00286852">
        <w:rPr>
          <w:rFonts w:ascii="GHEA Grapalat" w:hAnsi="GHEA Grapalat"/>
          <w:sz w:val="24"/>
          <w:szCs w:val="24"/>
          <w:lang w:val="hy-AM"/>
        </w:rPr>
        <w:t>Անոգենիտալ</w:t>
      </w:r>
      <w:r w:rsidRPr="00286852">
        <w:rPr>
          <w:rFonts w:ascii="GHEA Grapalat" w:hAnsi="GHEA Grapalat"/>
          <w:sz w:val="24"/>
          <w:szCs w:val="24"/>
          <w:lang w:val="hy-AM"/>
        </w:rPr>
        <w:t xml:space="preserve"> գորտնուկների բուժումը դժվար է և հազվադեպ դեպքերում կարող է վնասակար լինել:</w:t>
      </w:r>
    </w:p>
    <w:p w:rsidR="00BB46A8" w:rsidRPr="00286852" w:rsidRDefault="00BB46A8" w:rsidP="00597490">
      <w:pPr>
        <w:spacing w:line="360" w:lineRule="auto"/>
        <w:jc w:val="both"/>
        <w:rPr>
          <w:rFonts w:ascii="GHEA Grapalat" w:hAnsi="GHEA Grapalat"/>
          <w:sz w:val="24"/>
          <w:szCs w:val="24"/>
          <w:lang w:val="hy-AM"/>
        </w:rPr>
      </w:pPr>
      <w:r w:rsidRPr="00286852">
        <w:rPr>
          <w:rFonts w:ascii="GHEA Grapalat" w:hAnsi="GHEA Grapalat"/>
          <w:sz w:val="24"/>
          <w:szCs w:val="24"/>
          <w:lang w:val="hy-AM"/>
        </w:rPr>
        <w:lastRenderedPageBreak/>
        <w:t>ՄՊՎ-6 և 11-տիպերը կարող են առաջացնել հազվադեպ հիվանդություններ, ինչպիսին են վերին շնչուղիների պապիլոմատոզները,  որտեղ գորտնուկները զարգանում են կոկորդում կամ այլ շնչառական ուղիներում և առաջացնում են շնչառական ուղիների խանգարում: Վերին շնչուղիների պապիլոմատոզները փոփանցվում են  են 2 ձևով ` վաղ հասակի երեխաների մոտ ուղղահայց մորից պտղին և դեռահասների և չափահասների մոտ սեռական ճանապարհով (28): Վերին շնչուղիների պապիլոմատոզները կարող են առաջացնել ծանր հիվանդություններ և պահանջվում է բազմաթիվ վիրաբուժական միջամտություններ` շնչառական ուղիների ամբողջականությունը պահպանելու համար: Դա կարող է լինել ճակատագրական և առաջացնել չարորակ գոյացություն:</w:t>
      </w:r>
    </w:p>
    <w:p w:rsidR="00BB46A8" w:rsidRPr="00286852" w:rsidRDefault="00BB46A8" w:rsidP="00BB46A8">
      <w:pPr>
        <w:jc w:val="both"/>
        <w:rPr>
          <w:rFonts w:ascii="GHEA Grapalat" w:hAnsi="GHEA Grapalat"/>
          <w:b/>
          <w:sz w:val="24"/>
          <w:szCs w:val="24"/>
          <w:lang w:val="hy-AM"/>
        </w:rPr>
      </w:pPr>
      <w:r w:rsidRPr="00286852">
        <w:rPr>
          <w:rFonts w:ascii="GHEA Grapalat" w:hAnsi="GHEA Grapalat"/>
          <w:b/>
          <w:sz w:val="24"/>
          <w:szCs w:val="24"/>
          <w:lang w:val="hy-AM"/>
        </w:rPr>
        <w:t>Իմունային պատասխան ՄՊՎ- ի վարակից հետո</w:t>
      </w:r>
    </w:p>
    <w:p w:rsidR="00BB46A8" w:rsidRPr="00286852" w:rsidRDefault="00BB46A8" w:rsidP="00597490">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ՄՊՎ-ի վարակների զարգացման միջին ժամանակը կազմում է մոտավորապես 8-12 ամիս: Իմունոլոգիական պատասխանը լինում է անհատական և </w:t>
      </w:r>
      <w:r w:rsidR="008F5EB4" w:rsidRPr="00286852">
        <w:rPr>
          <w:rFonts w:ascii="GHEA Grapalat" w:hAnsi="GHEA Grapalat"/>
          <w:sz w:val="24"/>
          <w:szCs w:val="24"/>
          <w:lang w:val="hy-AM"/>
        </w:rPr>
        <w:t xml:space="preserve">ըստ </w:t>
      </w:r>
      <w:r w:rsidRPr="00286852">
        <w:rPr>
          <w:rFonts w:ascii="GHEA Grapalat" w:hAnsi="GHEA Grapalat"/>
          <w:sz w:val="24"/>
          <w:szCs w:val="24"/>
          <w:lang w:val="hy-AM"/>
        </w:rPr>
        <w:t xml:space="preserve">ՄՊՎ տեսակի: ՄՊՎ-ի վարակները սահմանափակվում են վնասելով լորձաթաղանթի էպիթելային շերտը և չեն առաջացնում ուժեղ իմունային պատասխան (29, 24):  Լավագույն բնութագիրը և ՄՊՎ-ի սպեցիֆիկ հակամարմիններն ուղղված են վիրուսի L1 սպիտակուցին: </w:t>
      </w:r>
      <w:r w:rsidRPr="00286852">
        <w:rPr>
          <w:rFonts w:ascii="GHEA Grapalat" w:hAnsi="GHEA Grapalat"/>
          <w:sz w:val="24"/>
          <w:szCs w:val="24"/>
          <w:lang w:val="hy-AM"/>
        </w:rPr>
        <w:lastRenderedPageBreak/>
        <w:t xml:space="preserve">Վարակվելուց հետո կանանց 70-80% - մոտ առաջանում է սեռական խանգարում: Հակամարմինները սովորաբար դանդաղ են զարգանում և նրանց տիտրը ցածր է: Իսկ տղամարդկանց մոտ ՄՊՎ վարակները հազվադեպ են զարգանում, նույնիսկ վարակվածությունից հետո հակամարմինները չեն պահպանվում (30): </w:t>
      </w:r>
    </w:p>
    <w:p w:rsidR="00BB46A8" w:rsidRPr="00286852" w:rsidRDefault="00BB46A8" w:rsidP="00597490">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ՄՊՎ-ով վարակվելու դեպքում կանաց մոտ հղիանալու հավանականությունը նվազում է: Պարզվում է, որ ՄՊՎ- ի նույն շճատիպով կրկնակի վարակվելու ռիսկ կա, և չի ապահովում տեղային կամ ընդհանուր իմունային պաշտպանություն այլ շճատիպերով վարակվելուց: Շատ դեպքերում, ում մոտ զարգանում են փոփոխություններ ձեռք են բերում արդյունավետ բջջային իմունիտետ և </w:t>
      </w:r>
      <w:r w:rsidR="008F5EB4" w:rsidRPr="00286852">
        <w:rPr>
          <w:rFonts w:ascii="GHEA Grapalat" w:hAnsi="GHEA Grapalat"/>
          <w:sz w:val="24"/>
          <w:szCs w:val="24"/>
          <w:lang w:val="hy-AM"/>
        </w:rPr>
        <w:t>այդ փոփոխությունները կարող</w:t>
      </w:r>
      <w:r w:rsidRPr="00286852">
        <w:rPr>
          <w:rFonts w:ascii="GHEA Grapalat" w:hAnsi="GHEA Grapalat"/>
          <w:sz w:val="24"/>
          <w:szCs w:val="24"/>
          <w:lang w:val="hy-AM"/>
        </w:rPr>
        <w:t xml:space="preserve"> են վերականգնվել (31): Կարող է հանգեցնել քրոնիկ վարակի զարգացմանը և ՄՊՎ-ի բարձր ռիսկի դեպքում` նպաստել </w:t>
      </w:r>
      <w:r w:rsidR="006054BF" w:rsidRPr="00286852">
        <w:rPr>
          <w:rFonts w:ascii="GHEA Grapalat" w:hAnsi="GHEA Grapalat"/>
          <w:sz w:val="24"/>
          <w:szCs w:val="24"/>
          <w:lang w:val="hy-AM"/>
        </w:rPr>
        <w:t xml:space="preserve">քաղցկեղի </w:t>
      </w:r>
      <w:r w:rsidRPr="00286852">
        <w:rPr>
          <w:rFonts w:ascii="GHEA Grapalat" w:hAnsi="GHEA Grapalat"/>
          <w:sz w:val="24"/>
          <w:szCs w:val="24"/>
          <w:lang w:val="hy-AM"/>
        </w:rPr>
        <w:t>հնարավոր զարգացմանը (24):</w:t>
      </w:r>
    </w:p>
    <w:p w:rsidR="00BB46A8" w:rsidRPr="00286852" w:rsidRDefault="00BB46A8" w:rsidP="00BB46A8">
      <w:pPr>
        <w:jc w:val="both"/>
        <w:rPr>
          <w:rFonts w:ascii="GHEA Grapalat" w:hAnsi="GHEA Grapalat"/>
          <w:b/>
          <w:sz w:val="24"/>
          <w:szCs w:val="24"/>
          <w:lang w:val="hy-AM"/>
        </w:rPr>
      </w:pPr>
      <w:r w:rsidRPr="00286852">
        <w:rPr>
          <w:rFonts w:ascii="GHEA Grapalat" w:hAnsi="GHEA Grapalat"/>
          <w:b/>
          <w:sz w:val="24"/>
          <w:szCs w:val="24"/>
          <w:lang w:val="hy-AM"/>
        </w:rPr>
        <w:t>Մարդու պապիլոմավիրուսային վարակի ախտորոշումը</w:t>
      </w:r>
    </w:p>
    <w:p w:rsidR="00BB46A8" w:rsidRPr="00286852" w:rsidRDefault="00BB46A8" w:rsidP="006054BF">
      <w:pPr>
        <w:spacing w:line="360" w:lineRule="auto"/>
        <w:jc w:val="both"/>
        <w:rPr>
          <w:rFonts w:ascii="GHEA Grapalat" w:hAnsi="GHEA Grapalat"/>
          <w:sz w:val="24"/>
          <w:szCs w:val="24"/>
          <w:lang w:val="hy-AM"/>
        </w:rPr>
      </w:pPr>
      <w:r w:rsidRPr="00286852">
        <w:rPr>
          <w:rFonts w:ascii="GHEA Grapalat" w:hAnsi="GHEA Grapalat"/>
          <w:sz w:val="24"/>
          <w:szCs w:val="24"/>
          <w:lang w:val="hy-AM"/>
        </w:rPr>
        <w:t xml:space="preserve">Արգանդի պարանոցի պապիլոմավիրուսային վարակը կարող է ախտորոշվել թեստերի օգտագործումով, որոնք հիմնված են արգանդի պարանոցի կամ հեշտոցի քսուքներում ՄՊՎ-ի ԴՆԹ-ի նույնականացման վրա։ ՄՊՎ վարակի </w:t>
      </w:r>
      <w:r w:rsidRPr="00286852">
        <w:rPr>
          <w:rFonts w:ascii="GHEA Grapalat" w:hAnsi="GHEA Grapalat"/>
          <w:sz w:val="24"/>
          <w:szCs w:val="24"/>
          <w:lang w:val="hy-AM"/>
        </w:rPr>
        <w:lastRenderedPageBreak/>
        <w:t>հետևանքով առաջացած արգանդի պարանոցի էպիթելի փոփոխությունները հայտնաբերվում են արգանդի պարանոցի քսուքում բջիջների միկրոսկոպիկ ուսումնասիրությամբ, որը հայտնի է որպես Պապանիկոլաուի թեստ (ՊԱՊ-թեստ)։ ՄՊՎ–ի ԴՆԹ-ի թեստավորումը, ցիտոլոգիական հետազոտությունը և</w:t>
      </w:r>
      <w:r w:rsidR="006054BF" w:rsidRPr="00286852">
        <w:rPr>
          <w:rFonts w:ascii="GHEA Grapalat" w:hAnsi="GHEA Grapalat"/>
          <w:sz w:val="24"/>
          <w:szCs w:val="24"/>
          <w:lang w:val="hy-AM"/>
        </w:rPr>
        <w:t xml:space="preserve"> </w:t>
      </w:r>
      <w:r w:rsidRPr="00286852">
        <w:rPr>
          <w:rFonts w:ascii="GHEA Grapalat" w:hAnsi="GHEA Grapalat"/>
          <w:sz w:val="24"/>
          <w:szCs w:val="24"/>
          <w:lang w:val="hy-AM"/>
        </w:rPr>
        <w:t>հատկապես սահմանափակ հնարավորությունների դեպքում, քացախաթթվի օգտագործումով տեսողական զննումը կիրառվում են ախտահարումների հայտնաբերման և արգանդի պարանոցի քաղցկեղի սկրինինգի նպատակով։</w:t>
      </w:r>
    </w:p>
    <w:p w:rsidR="000A5EF4" w:rsidRPr="00286852" w:rsidRDefault="000A5EF4" w:rsidP="00CB4DBF">
      <w:pPr>
        <w:spacing w:line="360" w:lineRule="auto"/>
        <w:jc w:val="both"/>
        <w:rPr>
          <w:rFonts w:ascii="GHEA Grapalat" w:eastAsia="Arial" w:hAnsi="GHEA Grapalat" w:cs="Sylfaen"/>
          <w:b/>
          <w:sz w:val="24"/>
          <w:szCs w:val="24"/>
          <w:lang w:val="hy-AM"/>
        </w:rPr>
      </w:pPr>
      <w:r w:rsidRPr="00286852">
        <w:rPr>
          <w:rFonts w:ascii="GHEA Grapalat" w:eastAsia="Arial" w:hAnsi="GHEA Grapalat" w:cs="Sylfaen"/>
          <w:b/>
          <w:sz w:val="24"/>
          <w:szCs w:val="24"/>
          <w:lang w:val="hy-AM"/>
        </w:rPr>
        <w:t>Բուժում</w:t>
      </w:r>
    </w:p>
    <w:p w:rsidR="000A5EF4" w:rsidRPr="00286852" w:rsidRDefault="000A5EF4" w:rsidP="00CB4DBF">
      <w:pPr>
        <w:spacing w:line="360" w:lineRule="auto"/>
        <w:jc w:val="both"/>
        <w:rPr>
          <w:rFonts w:ascii="GHEA Grapalat" w:eastAsia="Arial" w:hAnsi="GHEA Grapalat" w:cs="Sylfaen"/>
          <w:sz w:val="24"/>
          <w:szCs w:val="24"/>
          <w:lang w:val="hy-AM"/>
        </w:rPr>
      </w:pPr>
      <w:r w:rsidRPr="00286852">
        <w:rPr>
          <w:rFonts w:ascii="GHEA Grapalat" w:eastAsia="Arial" w:hAnsi="GHEA Grapalat" w:cs="Sylfaen"/>
          <w:sz w:val="24"/>
          <w:szCs w:val="24"/>
          <w:lang w:val="hy-AM"/>
        </w:rPr>
        <w:t>Չնայած նրան, որ մարդու պապիլոմավիրուսային վարակի համար գոյություն չունի սպեցիֆիկ բուժում, արգանդի պարանոցի նախաքաղցկեղային սկրինինգը և բուժումը բավականին արդյունավետ են արգանդի պարանոցի քաղցկեղի զարգացումը կանխելու համար</w:t>
      </w:r>
      <w:r w:rsidRPr="00286852">
        <w:rPr>
          <w:rFonts w:ascii="Times New Roman" w:eastAsia="Times New Roman" w:hAnsi="Times New Roman"/>
          <w:sz w:val="24"/>
          <w:szCs w:val="24"/>
          <w:lang w:val="hy-AM"/>
        </w:rPr>
        <w:t>32</w:t>
      </w:r>
      <w:r w:rsidRPr="00286852">
        <w:rPr>
          <w:rFonts w:ascii="GHEA Grapalat" w:eastAsia="Arial" w:hAnsi="GHEA Grapalat" w:cs="Sylfaen"/>
          <w:sz w:val="24"/>
          <w:szCs w:val="24"/>
          <w:lang w:val="hy-AM"/>
        </w:rPr>
        <w:t>:  Արգանդի պարանոցի քաղցկեղը կարող է բուժվել ինվազիվ մեթոդներով, որոնք ներառում են անոմալ հյուսվածքների ոչնչացումը  այրման կամ սառեցման (կրիոթերապիա) և վիրահատական հեռացման միջոցով (ցողունային էլեկտրամեխանիկական արտանետման պրոցեդուրա (LEEP) կամ բիոպսիա):</w:t>
      </w:r>
      <w:r w:rsidRPr="00286852">
        <w:rPr>
          <w:rFonts w:ascii="GHEA Grapalat" w:hAnsi="GHEA Grapalat"/>
          <w:sz w:val="24"/>
          <w:szCs w:val="24"/>
          <w:lang w:val="hy-AM"/>
        </w:rPr>
        <w:t xml:space="preserve"> </w:t>
      </w:r>
      <w:r w:rsidRPr="00286852">
        <w:rPr>
          <w:rFonts w:ascii="GHEA Grapalat" w:eastAsia="Arial" w:hAnsi="GHEA Grapalat" w:cs="Sylfaen"/>
          <w:sz w:val="24"/>
          <w:szCs w:val="24"/>
          <w:lang w:val="hy-AM"/>
        </w:rPr>
        <w:t xml:space="preserve">Ցածր եկամուտ ունեցող երկրներում, արգանդի պարանոցի քաղցկեղային նախանշանները առավել </w:t>
      </w:r>
      <w:r w:rsidRPr="00286852">
        <w:rPr>
          <w:rFonts w:ascii="GHEA Grapalat" w:eastAsia="Arial" w:hAnsi="GHEA Grapalat" w:cs="Sylfaen"/>
          <w:sz w:val="24"/>
          <w:szCs w:val="24"/>
          <w:lang w:val="hy-AM"/>
        </w:rPr>
        <w:lastRenderedPageBreak/>
        <w:t>հաճախ բուժվում են կրիոթերապիայի միջոցով</w:t>
      </w:r>
      <w:r w:rsidRPr="00286852">
        <w:rPr>
          <w:rFonts w:ascii="Times New Roman" w:eastAsia="Times New Roman" w:hAnsi="Times New Roman"/>
          <w:sz w:val="24"/>
          <w:szCs w:val="24"/>
          <w:lang w:val="hy-AM"/>
        </w:rPr>
        <w:t>34</w:t>
      </w:r>
      <w:r w:rsidRPr="00286852">
        <w:rPr>
          <w:rFonts w:ascii="GHEA Grapalat" w:eastAsia="Arial" w:hAnsi="GHEA Grapalat" w:cs="Sylfaen"/>
          <w:sz w:val="24"/>
          <w:szCs w:val="24"/>
          <w:lang w:val="hy-AM"/>
        </w:rPr>
        <w:t>: Ախտահարված հյուսվածքների վիրահատական ճանապարհով հեռացումն (հեռացման ցողունային էլեկտրամեխանիկական արտանետման պրոցեդուրա) արդյունավետ է և անհրաժեշտ, եթե ախտահարված է մեծ մակերես</w:t>
      </w:r>
      <w:r w:rsidRPr="00286852">
        <w:rPr>
          <w:rFonts w:ascii="Times New Roman" w:eastAsia="Times New Roman" w:hAnsi="Times New Roman"/>
          <w:sz w:val="24"/>
          <w:szCs w:val="24"/>
          <w:lang w:val="hy-AM"/>
        </w:rPr>
        <w:t>32, 34</w:t>
      </w:r>
      <w:r w:rsidRPr="00286852">
        <w:rPr>
          <w:rFonts w:ascii="GHEA Grapalat" w:eastAsia="Arial" w:hAnsi="GHEA Grapalat" w:cs="Sylfaen"/>
          <w:sz w:val="24"/>
          <w:szCs w:val="24"/>
          <w:lang w:val="hy-AM"/>
        </w:rPr>
        <w:t>: Ցողունային կոնի բիոպսիան անհրաժեշտ է կիրառել առավել բարդ և կրկնվող դեպքերում, որոնք կապված են էնդոցերվիկալ խողովակի հիվանդությունների հետ:</w:t>
      </w:r>
    </w:p>
    <w:p w:rsidR="000A5EF4" w:rsidRPr="00286852" w:rsidRDefault="000A5EF4" w:rsidP="00CB4DBF">
      <w:pPr>
        <w:spacing w:line="360" w:lineRule="auto"/>
        <w:jc w:val="both"/>
        <w:rPr>
          <w:rFonts w:ascii="GHEA Grapalat" w:eastAsia="Arial" w:hAnsi="GHEA Grapalat"/>
          <w:b/>
          <w:sz w:val="24"/>
          <w:szCs w:val="24"/>
          <w:lang w:val="hy-AM"/>
        </w:rPr>
      </w:pPr>
      <w:r w:rsidRPr="00286852">
        <w:rPr>
          <w:rFonts w:ascii="GHEA Grapalat" w:eastAsia="Arial" w:hAnsi="GHEA Grapalat"/>
          <w:b/>
          <w:sz w:val="24"/>
          <w:szCs w:val="24"/>
          <w:lang w:val="hy-AM"/>
        </w:rPr>
        <w:t>Պատվաստանյութեր</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ՄՊՎ-ի դեմ երեք կանխարգելիչ  պատվաստանյութերը, որոնք ուղղված են ՄՊՎ-ի բարձր ռիսկային տեսակների դեմ, ներկայումս առկա են և կիրառվում են աշխարհի տարբեր երկրներում՝ ՄՊՎ-ով պայմանավորված հիվանդությունների կանխարգելման համար:</w:t>
      </w:r>
      <w:r w:rsidRPr="00286852">
        <w:rPr>
          <w:rFonts w:ascii="GHEA Grapalat" w:hAnsi="GHEA Grapalat"/>
          <w:sz w:val="24"/>
          <w:szCs w:val="24"/>
          <w:lang w:val="hy-AM"/>
        </w:rPr>
        <w:t xml:space="preserve"> </w:t>
      </w:r>
      <w:r w:rsidRPr="00286852">
        <w:rPr>
          <w:rFonts w:ascii="GHEA Grapalat" w:eastAsia="Arial" w:hAnsi="GHEA Grapalat"/>
          <w:sz w:val="24"/>
          <w:szCs w:val="24"/>
          <w:lang w:val="hy-AM"/>
        </w:rPr>
        <w:t>2006 թ-ին առաջին անգամ արտոնագրվել է քառավալենտ պատվաստանյութը, 2007 թ-ին երկվալենտ պատվաստանյութը և 2014 թ-ին՝  իննավալենտ պատվաստանյութը</w:t>
      </w:r>
      <w:r w:rsidRPr="00286852">
        <w:rPr>
          <w:rFonts w:ascii="Times New Roman" w:eastAsia="Times New Roman" w:hAnsi="Times New Roman"/>
          <w:sz w:val="24"/>
          <w:szCs w:val="24"/>
          <w:lang w:val="hy-AM"/>
        </w:rPr>
        <w:t>35</w:t>
      </w:r>
      <w:r w:rsidRPr="00286852">
        <w:rPr>
          <w:rFonts w:ascii="GHEA Grapalat" w:eastAsia="Arial" w:hAnsi="GHEA Grapalat"/>
          <w:sz w:val="24"/>
          <w:szCs w:val="24"/>
          <w:lang w:val="hy-AM"/>
        </w:rPr>
        <w:t xml:space="preserve">: Բոլոր այդ պատվաստանյութերը նախատեսվում են կիրառել հնարավորինս շուտ՝ մինչև սեռական ակտիվության սկիզբը, այսինքն մինչև ՄՊՎ- ի վարակի առաջին ներգործությունը: Օգտագործելով ռեկոմբինանտ ԴՆԹ-ի </w:t>
      </w:r>
      <w:r w:rsidRPr="00286852">
        <w:rPr>
          <w:rFonts w:ascii="GHEA Grapalat" w:eastAsia="Arial" w:hAnsi="GHEA Grapalat"/>
          <w:sz w:val="24"/>
          <w:szCs w:val="24"/>
          <w:lang w:val="hy-AM"/>
        </w:rPr>
        <w:lastRenderedPageBreak/>
        <w:t>տեխնոլոգիան, բոլոր 3 պատվաստանյութերը պատրաստված են մաքրված L1 կապսիդային սպիտակուցից, որն ինքնաբերաբար հավաքվում է՝  առաջացնելով ՄՊՎ-ի շճատիպերի  յուրահատուկ դատարկ խցիկներ, որոնք կոչվում են վիրուսանման մասնիկներ (VLPs): Պատվաստանյութերը չեն պարունակում կենդանի կենսաբանական նյութեր և վիրուսային ԴՆԹ, այդ պատճառով էլ վարակիչ չեն: Դրանք չեն պարունակում հակաբիոտիկներ կամ կոնսերվնտներ՝ պահպանիչներ:</w:t>
      </w:r>
    </w:p>
    <w:p w:rsidR="000A5EF4" w:rsidRPr="00286852" w:rsidRDefault="000A5EF4" w:rsidP="00CB4DBF">
      <w:pPr>
        <w:spacing w:line="360" w:lineRule="auto"/>
        <w:ind w:firstLine="720"/>
        <w:jc w:val="both"/>
        <w:rPr>
          <w:rFonts w:ascii="GHEA Grapalat" w:eastAsia="Arial" w:hAnsi="GHEA Grapalat"/>
          <w:sz w:val="24"/>
          <w:szCs w:val="24"/>
          <w:lang w:val="hy-AM"/>
        </w:rPr>
      </w:pPr>
      <w:r w:rsidRPr="00286852">
        <w:rPr>
          <w:rFonts w:ascii="GHEA Grapalat" w:eastAsia="Arial" w:hAnsi="GHEA Grapalat"/>
          <w:sz w:val="24"/>
          <w:szCs w:val="24"/>
          <w:lang w:val="hy-AM"/>
        </w:rPr>
        <w:t>2017 թվականի մարտի 31-ի դրությամբ աշխարհի 71 երկրներ (37%) ներդրել են աղջիկների ՄՊՎ-ի դեմ պատվաստումներն իրենց իմունականխարգելման ազգային ծրագրերում, այդ թվում 11 երկրում (6%)  նաև տղաների</w:t>
      </w:r>
      <w:r w:rsidRPr="00286852">
        <w:rPr>
          <w:rFonts w:ascii="Times New Roman" w:eastAsia="Times New Roman" w:hAnsi="Times New Roman"/>
          <w:sz w:val="24"/>
          <w:szCs w:val="24"/>
          <w:lang w:val="hy-AM"/>
        </w:rPr>
        <w:t>36</w:t>
      </w:r>
      <w:r w:rsidRPr="00286852">
        <w:rPr>
          <w:rFonts w:ascii="GHEA Grapalat" w:eastAsia="Arial" w:hAnsi="GHEA Grapalat"/>
          <w:sz w:val="24"/>
          <w:szCs w:val="24"/>
          <w:lang w:val="hy-AM"/>
        </w:rPr>
        <w:t xml:space="preserve">: </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i/>
          <w:sz w:val="24"/>
          <w:szCs w:val="24"/>
          <w:lang w:val="hy-AM"/>
        </w:rPr>
        <w:t>ՄՊՎ-ի դեմ երկվալենտ պատվաստանյութ:</w:t>
      </w:r>
      <w:r w:rsidRPr="00286852">
        <w:rPr>
          <w:rFonts w:ascii="GHEA Grapalat" w:eastAsia="Arial" w:hAnsi="GHEA Grapalat"/>
          <w:sz w:val="24"/>
          <w:szCs w:val="24"/>
          <w:lang w:val="hy-AM"/>
        </w:rPr>
        <w:t xml:space="preserve"> Այն կախույթ է՝ նախատեսված միջմկանային ներարկման համար, որը պարունակում է ՄՊՎ-ի 16 և 18 շճատիպերի</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 xml:space="preserve">L1-կապսիդային սպիտակուց: Այն արտադրվում է մեկ կամ երկու դեղաչափանոց շշիկներով կամ նախապես ներլցված ներարկիչներով: Երկվալենտ պատվաստանյութի յուրաքանչյուր 0.5 մլ չափաբաժինը </w:t>
      </w:r>
      <w:r w:rsidRPr="00286852">
        <w:rPr>
          <w:rFonts w:ascii="GHEA Grapalat" w:eastAsia="Arial" w:hAnsi="GHEA Grapalat"/>
          <w:sz w:val="24"/>
          <w:szCs w:val="24"/>
          <w:lang w:val="hy-AM"/>
        </w:rPr>
        <w:lastRenderedPageBreak/>
        <w:t>պարունակում է 20մկգ ՄՊՎ 16-ի  L1 սպիտակուց և 20 մկգ ՄՊՎ 18-ի  L1 սպիտակուց, ադսորբցված ադյուվանտի հետ, որը պարունակում է 500 մկգ ալյումինիումի հիդրոքսիդ  և 50 մկգ 3-O-դեզացիլ-4 –մոնոֆոսֆորական լիպոիդ A (AS04):</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Այս պատվաստանյութը ցուցված է 9 տարեկան և բարձր տարիքի կանանց և տղամարդկանց նախաքաղցկեղային անոգենիտալ ախտահարումների կանխարգելման համար, որոնց պատճառը կոնկրետ ՄՊՎ-ն է և որոնցով պայմանավորված է  արգանդի պարանոցի, հեշտոցի և հետանցքի քաղցկեղը:</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i/>
          <w:sz w:val="24"/>
          <w:szCs w:val="24"/>
          <w:lang w:val="hy-AM"/>
        </w:rPr>
        <w:t>ՄՊՎ-ի դեմ քառավալենտ պատվաստանյութ</w:t>
      </w:r>
      <w:r w:rsidRPr="00286852">
        <w:rPr>
          <w:rFonts w:ascii="GHEA Grapalat" w:eastAsia="Arial" w:hAnsi="GHEA Grapalat"/>
          <w:sz w:val="24"/>
          <w:szCs w:val="24"/>
          <w:lang w:val="hy-AM"/>
        </w:rPr>
        <w:t xml:space="preserve">: Քառավալենտ պատվաստանյութը կախույթ է միջմկանային ներարկման համար, որը պարունակում է ՄՊՎ-ի  6,11,16 և 18 շճատիպերի մաքրված L-1 սպիտակուց: Այն արտադրվում է 1 դեղաչափանոց շշիկներով կամ նախապես ներլցված ներարկիչներով: Պատվաստանյութն արտադրվում է խմորիչ նյութերի կիրառումով և ներառում է ամորֆ ալյումինիումի հիդրօքսֆոսֆատ սուլֆատ (AAHS), որպես խթանիչ: Այս պատվաստանյութի յուրաքանչյուր 0.5 մլ  դեղաչափը պարունակում է 20 մկգ ՄՊՎ 6-ի L1 սպիտակուց, 40 մկգ ՄՊՎ 11-ի L1 սպիտակուց, 40 մկգ ՄՊՎ 16-ի L1 սպիտակուց և 20 մկգ ՄՊՎ 18-ի L1 </w:t>
      </w:r>
      <w:r w:rsidRPr="00286852">
        <w:rPr>
          <w:rFonts w:ascii="GHEA Grapalat" w:eastAsia="Arial" w:hAnsi="GHEA Grapalat"/>
          <w:sz w:val="24"/>
          <w:szCs w:val="24"/>
          <w:lang w:val="hy-AM"/>
        </w:rPr>
        <w:lastRenderedPageBreak/>
        <w:t>սպիտակուց, որոնք ադսորբվում են 225 մկգ խթանիչի հետ: Այս պատվաստանյութը ցուցված է 9 տարեկան և բարձր տարեկան կանանց և տղամարդկանց նախաքաղցկեղային անոգենիտալ ախտահարումների կանխարգելման համար, որոնց պատճառը կոնկրետ ՄՊՎ-ն է և որոնցով պայմանավորված է  արգանդի պարանոցի, հեշտոցի և անուսի քաղցկեղը:</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i/>
          <w:sz w:val="24"/>
          <w:szCs w:val="24"/>
          <w:lang w:val="hy-AM"/>
        </w:rPr>
        <w:t>Իննավալենտ պատվաստանյութ ՄՊՎ-ի դեմ:</w:t>
      </w:r>
      <w:r w:rsidRPr="00286852">
        <w:rPr>
          <w:rFonts w:ascii="GHEA Grapalat" w:eastAsia="Arial" w:hAnsi="GHEA Grapalat"/>
          <w:sz w:val="24"/>
          <w:szCs w:val="24"/>
          <w:lang w:val="hy-AM"/>
        </w:rPr>
        <w:t xml:space="preserve"> Այս պատվաստանյութը միջմկանային ներարկման համար կախույթ է: Այն պարունակում է ՄՊՎ-ի 9 շճատիպերի (6, 11, 16, 18, 31, 33, 45, 52 և 58) մաքրված L-1 սպիտակուցներ: Այն արտադրվում է 1 դեղաչափանոց շշիկներով կամ նախապես ներլցված ներարկիչներով: Քառավալենտ պատվաստանյութի նման իննավալենտ պատվաստանյութն արտադրվում է օգտագործելով խմորիչ և ներառում է ամորֆ ալյումինիումի հիդրօքսֆոսֆատ սուլֆատ(AAHS), որպես խթանիչ: Այս պատվաստանյութի յուրաքանչյուր 0.5 մլ դեղաչափը պարունակում է 30 մկգ ՄՊՎ 6-ի L1 սպիտակուց, 40 մկգ ՄՊՎ 11-ի L1 սպիտակուց, 60 մկգ ՄՊՎ 16-ի L1 սպիտակուց, 40 մկգ ՄՊՎ 18-ի L1 սպիտակուցը, 20 մկգ ՄՊՎ 31-ի L1 սպիտակուց, 20 մկգ ՄՊՎ 33-ի L1 սպիտակուց, 20 մկգ ՄՊՎ 45-ի L1 սպիտակուց, 20 մկգ ՄՊՎ 52-ի L1 սպիտակուց, 20 մկգ ՄՊՎ 58-ի L1 </w:t>
      </w:r>
      <w:r w:rsidRPr="00286852">
        <w:rPr>
          <w:rFonts w:ascii="GHEA Grapalat" w:eastAsia="Arial" w:hAnsi="GHEA Grapalat"/>
          <w:sz w:val="24"/>
          <w:szCs w:val="24"/>
          <w:lang w:val="hy-AM"/>
        </w:rPr>
        <w:lastRenderedPageBreak/>
        <w:t>սպիտակուց և 500 մկգ ամորֆ ալյումինիումի հիդրօքսֆոսֆատ սուլֆատ (AAHS)- ով ադսորբցված 20 մկգ ՄՊՎ 58-ի L1 պրոտեին:</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Այն ցուցված է 9 տարեկան և բարձր տարիքի կանանց և տղամարդկանց նախաքաղցկեղային անոգենիտալ ախտահարումների կանխարգելման համար, որոնց պատճառը կոնկրետ ՄՊՎ-ն է և որոնցով պայմանավորված է  արգանդի պարանոցի, հեշտոցի և անուսի քաղցկեղը, անոգենիտալ գորտնուկները:</w:t>
      </w:r>
    </w:p>
    <w:p w:rsidR="000A5EF4" w:rsidRPr="00286852" w:rsidRDefault="000A5EF4" w:rsidP="00CB4DBF">
      <w:pPr>
        <w:spacing w:line="360" w:lineRule="auto"/>
        <w:jc w:val="both"/>
        <w:rPr>
          <w:rFonts w:ascii="GHEA Grapalat" w:eastAsia="Arial" w:hAnsi="GHEA Grapalat"/>
          <w:b/>
          <w:sz w:val="24"/>
          <w:szCs w:val="24"/>
          <w:lang w:val="hy-AM"/>
        </w:rPr>
      </w:pPr>
      <w:r w:rsidRPr="00286852">
        <w:rPr>
          <w:rFonts w:ascii="GHEA Grapalat" w:eastAsia="Arial" w:hAnsi="GHEA Grapalat"/>
          <w:b/>
          <w:sz w:val="24"/>
          <w:szCs w:val="24"/>
          <w:lang w:val="hy-AM"/>
        </w:rPr>
        <w:t>Արտադրողների կողմից նախատեսված ժամանակացույցը և պահեստավորումը</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ՄՊՎ-ի դեմ բոլոր պատվաստումների ժամանակացույցը սահմանվում է արտադրողների կողմից՝ կախված է պատվաստում ստացողի տարիքից: Պատվաստանյութն անհրաժեշտ է ներմուծել միջմկանային, դելտայաձև մկանի շրջանում:</w:t>
      </w:r>
    </w:p>
    <w:p w:rsidR="000A5EF4" w:rsidRPr="00286852" w:rsidRDefault="000A5EF4" w:rsidP="00CB4DBF">
      <w:pPr>
        <w:spacing w:line="360" w:lineRule="auto"/>
        <w:jc w:val="both"/>
        <w:rPr>
          <w:rFonts w:ascii="GHEA Grapalat" w:eastAsia="Arial" w:hAnsi="GHEA Grapalat"/>
          <w:i/>
          <w:sz w:val="24"/>
          <w:szCs w:val="24"/>
          <w:lang w:val="hy-AM"/>
        </w:rPr>
      </w:pPr>
      <w:r w:rsidRPr="00286852">
        <w:rPr>
          <w:rFonts w:ascii="GHEA Grapalat" w:eastAsia="Arial" w:hAnsi="GHEA Grapalat"/>
          <w:i/>
          <w:sz w:val="24"/>
          <w:szCs w:val="24"/>
          <w:lang w:val="hy-AM"/>
        </w:rPr>
        <w:t>Երկվալենտ պատվաստանյութ</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 xml:space="preserve"> 9-13 տարեկանների համար առաջարկվում է կիրառել 2 դեղաչափ (0,5 մլ, 0 և 5-13 ամիս): 15 տարեկան և բարձր տարիքում, առաջարկվում է կատարել 3 </w:t>
      </w:r>
      <w:r w:rsidRPr="00286852">
        <w:rPr>
          <w:rFonts w:ascii="GHEA Grapalat" w:eastAsia="Arial" w:hAnsi="GHEA Grapalat"/>
          <w:sz w:val="24"/>
          <w:szCs w:val="24"/>
          <w:lang w:val="hy-AM"/>
        </w:rPr>
        <w:lastRenderedPageBreak/>
        <w:t>դեղաչափ (0.5 մլ` 0, 1, 6 ամիս): Երկրորդ դեղաչափը կարող է տրվել առաջին դեղաչափից 1-ից 2.5 ամիս հետո և երրորդ դեղաչափը առաջինից՝ 5-ից 12 ամիս անց:</w:t>
      </w:r>
      <w:r w:rsidRPr="00286852">
        <w:rPr>
          <w:rFonts w:ascii="GHEA Grapalat" w:hAnsi="GHEA Grapalat"/>
          <w:sz w:val="24"/>
          <w:szCs w:val="24"/>
          <w:lang w:val="hy-AM"/>
        </w:rPr>
        <w:t xml:space="preserve"> </w:t>
      </w:r>
      <w:r w:rsidRPr="00286852">
        <w:rPr>
          <w:rFonts w:ascii="GHEA Grapalat" w:eastAsia="Arial" w:hAnsi="GHEA Grapalat"/>
          <w:sz w:val="24"/>
          <w:szCs w:val="24"/>
          <w:lang w:val="hy-AM"/>
        </w:rPr>
        <w:t>Եթե ցանկացած տարիքում երկրորդ դեղաչափը կիրառվում է առաջին դեղաչափից հետո մինչև հինգ ամսվա ընթացքում, ապա անհրաժեշտ է երրորդ դեղաչափ: Բուստեր դեղաչափի անհրաժեշտություն չկա:</w:t>
      </w:r>
    </w:p>
    <w:p w:rsidR="000A5EF4" w:rsidRPr="00286852" w:rsidRDefault="000A5EF4" w:rsidP="00CB4DBF">
      <w:pPr>
        <w:spacing w:line="360" w:lineRule="auto"/>
        <w:jc w:val="both"/>
        <w:rPr>
          <w:rFonts w:ascii="GHEA Grapalat" w:eastAsia="Arial" w:hAnsi="GHEA Grapalat"/>
          <w:i/>
          <w:sz w:val="24"/>
          <w:szCs w:val="24"/>
          <w:lang w:val="hy-AM"/>
        </w:rPr>
      </w:pPr>
      <w:r w:rsidRPr="00286852">
        <w:rPr>
          <w:rFonts w:ascii="GHEA Grapalat" w:eastAsia="Arial" w:hAnsi="GHEA Grapalat"/>
          <w:i/>
          <w:sz w:val="24"/>
          <w:szCs w:val="24"/>
          <w:lang w:val="hy-AM"/>
        </w:rPr>
        <w:t>Քառավալենտ պատվաստանյութ</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9-13 տարեկան աղջիկների և տղաների համար այս պատվաստանյութը կարող է իրականացվել 2-դեղաչափով (0.5 մլ` 0 և 6 ամիս ժամանակացույցով):</w:t>
      </w:r>
      <w:r w:rsidRPr="00286852">
        <w:rPr>
          <w:rFonts w:ascii="GHEA Grapalat" w:hAnsi="GHEA Grapalat"/>
          <w:sz w:val="24"/>
          <w:szCs w:val="24"/>
          <w:lang w:val="hy-AM"/>
        </w:rPr>
        <w:t xml:space="preserve"> </w:t>
      </w:r>
      <w:r w:rsidRPr="00286852">
        <w:rPr>
          <w:rFonts w:ascii="GHEA Grapalat" w:eastAsia="Arial" w:hAnsi="GHEA Grapalat"/>
          <w:sz w:val="24"/>
          <w:szCs w:val="24"/>
          <w:lang w:val="hy-AM"/>
        </w:rPr>
        <w:t>Եթե երկրորդ դեղաչափը կատարվում է ավելի վաղ՝ առաջին դեղաչափից հետո մինչև 6 ամսվա ընթացքում, ապա պետք է կատարվի երրորդ դեղաչափը:</w:t>
      </w:r>
      <w:r w:rsidRPr="00286852">
        <w:rPr>
          <w:rFonts w:ascii="GHEA Grapalat" w:hAnsi="GHEA Grapalat"/>
          <w:sz w:val="24"/>
          <w:szCs w:val="24"/>
          <w:lang w:val="hy-AM"/>
        </w:rPr>
        <w:t xml:space="preserve"> Այլընտրանքային պատվաստումները կարող են իրականացվել եռանվագ՝ 0.5 մլ 0, 2, 6 ամիս օրացույցով: Երկրորդ</w:t>
      </w:r>
      <w:r w:rsidRPr="00286852">
        <w:rPr>
          <w:rFonts w:ascii="GHEA Grapalat" w:eastAsia="Arial" w:hAnsi="GHEA Grapalat"/>
          <w:sz w:val="24"/>
          <w:szCs w:val="24"/>
          <w:lang w:val="hy-AM"/>
        </w:rPr>
        <w:t xml:space="preserve"> դեղաչափը պետք է իրականացվի առաջին դեղաչափից առնվազն մեկ ամիս հետո, իսկ երրորդ դեղաչափը՝ երկրորդ դեղաչափից առնվազն երեք ամիս հետո:</w:t>
      </w:r>
    </w:p>
    <w:p w:rsidR="000A5EF4" w:rsidRPr="00286852" w:rsidRDefault="000A5EF4" w:rsidP="00CB4DBF">
      <w:pPr>
        <w:spacing w:line="360" w:lineRule="auto"/>
        <w:ind w:firstLine="720"/>
        <w:jc w:val="both"/>
        <w:rPr>
          <w:rFonts w:ascii="GHEA Grapalat" w:eastAsia="Arial" w:hAnsi="GHEA Grapalat"/>
          <w:sz w:val="24"/>
          <w:szCs w:val="24"/>
          <w:lang w:val="hy-AM"/>
        </w:rPr>
      </w:pPr>
      <w:r w:rsidRPr="00286852">
        <w:rPr>
          <w:rFonts w:ascii="GHEA Grapalat" w:eastAsia="Arial" w:hAnsi="GHEA Grapalat"/>
          <w:sz w:val="24"/>
          <w:szCs w:val="24"/>
          <w:lang w:val="hy-AM"/>
        </w:rPr>
        <w:lastRenderedPageBreak/>
        <w:t xml:space="preserve">14 տարեկան և ավելի բարձր տարիքի աղջիկների և տղաների համար պատվաստումները պետք է իրականացվեն </w:t>
      </w:r>
      <w:r w:rsidRPr="00286852">
        <w:rPr>
          <w:rFonts w:ascii="GHEA Grapalat" w:hAnsi="GHEA Grapalat"/>
          <w:sz w:val="24"/>
          <w:szCs w:val="24"/>
          <w:lang w:val="hy-AM"/>
        </w:rPr>
        <w:t>եռանվագ</w:t>
      </w:r>
      <w:r w:rsidRPr="00286852">
        <w:rPr>
          <w:rFonts w:ascii="GHEA Grapalat" w:eastAsia="Arial" w:hAnsi="GHEA Grapalat"/>
          <w:sz w:val="24"/>
          <w:szCs w:val="24"/>
          <w:lang w:val="hy-AM"/>
        </w:rPr>
        <w:t xml:space="preserve"> օրացույցով (0.5 մլ `0, 2, 6 ամիս):</w:t>
      </w:r>
    </w:p>
    <w:p w:rsidR="000A5EF4" w:rsidRPr="00286852" w:rsidRDefault="000A5EF4" w:rsidP="00CB4DBF">
      <w:pPr>
        <w:spacing w:line="360" w:lineRule="auto"/>
        <w:jc w:val="both"/>
        <w:rPr>
          <w:rFonts w:ascii="GHEA Grapalat" w:eastAsia="Arial" w:hAnsi="GHEA Grapalat"/>
          <w:i/>
          <w:sz w:val="24"/>
          <w:szCs w:val="24"/>
          <w:lang w:val="hy-AM"/>
        </w:rPr>
      </w:pPr>
      <w:r w:rsidRPr="00286852">
        <w:rPr>
          <w:rFonts w:ascii="GHEA Grapalat" w:eastAsia="Arial" w:hAnsi="GHEA Grapalat"/>
          <w:i/>
          <w:sz w:val="24"/>
          <w:szCs w:val="24"/>
          <w:lang w:val="hy-AM"/>
        </w:rPr>
        <w:t>Իննավալենտ պատվաստանյութ</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9-14 տարեկան աղջիկների և տղաների համար խորհուրդ է տրվում 2 դեղաչափով ժամանակացույցը (0.5 մլ՝ 0-ից և 5-13 ամսից): Եթե երկրորդ դեղաչափը կատարվում է ավելի վաղ՝ առաջին դեղաչափից հետո մինչև 5 ամսվա ընթացքում, ապա պետք է կատարվի երրորդ դեղաչափը:</w:t>
      </w:r>
      <w:r w:rsidRPr="00286852">
        <w:rPr>
          <w:rFonts w:ascii="GHEA Grapalat" w:hAnsi="GHEA Grapalat"/>
          <w:sz w:val="24"/>
          <w:szCs w:val="24"/>
          <w:lang w:val="hy-AM"/>
        </w:rPr>
        <w:t xml:space="preserve"> </w:t>
      </w:r>
      <w:r w:rsidRPr="00286852">
        <w:rPr>
          <w:rFonts w:ascii="GHEA Grapalat" w:eastAsia="Arial" w:hAnsi="GHEA Grapalat"/>
          <w:sz w:val="24"/>
          <w:szCs w:val="24"/>
          <w:lang w:val="hy-AM"/>
        </w:rPr>
        <w:t>Պատվաստանյութը կարելի է կիրառել 3 դեղաչափանոց  ժամանակացույցով (0.5 մլ `0, 2, 6 ամիս):</w:t>
      </w:r>
    </w:p>
    <w:p w:rsidR="000A5EF4" w:rsidRPr="00286852" w:rsidRDefault="000A5EF4" w:rsidP="00CB4DBF">
      <w:pPr>
        <w:spacing w:line="360" w:lineRule="auto"/>
        <w:jc w:val="both"/>
        <w:rPr>
          <w:rFonts w:ascii="GHEA Grapalat" w:eastAsia="Arial" w:hAnsi="GHEA Grapalat"/>
          <w:sz w:val="24"/>
          <w:szCs w:val="24"/>
          <w:lang w:val="hy-AM"/>
        </w:rPr>
      </w:pPr>
      <w:r w:rsidRPr="00286852">
        <w:rPr>
          <w:rFonts w:ascii="GHEA Grapalat" w:eastAsia="Arial" w:hAnsi="GHEA Grapalat"/>
          <w:sz w:val="24"/>
          <w:szCs w:val="24"/>
          <w:lang w:val="hy-AM"/>
        </w:rPr>
        <w:t>Երկրորդ դեղաչափը պետք է կատարվի առաջին դեղաչափից առնվազն մեկ ամիս հետո, իսկ երրորդը՝ երկրորդ դեղաչափից առնվազն 3 ամիս հետո: 15 տարեկանից բարձր տարիքի անձանց համար պատվաստանյութը պետք է կիրառել եռանվագ օրացուցով (0.5 մլ `0, 2, 6 ամիս):</w:t>
      </w:r>
    </w:p>
    <w:p w:rsidR="000A5EF4" w:rsidRPr="00286852" w:rsidRDefault="000A5EF4" w:rsidP="00CB4DBF">
      <w:pPr>
        <w:spacing w:line="360" w:lineRule="auto"/>
        <w:jc w:val="both"/>
        <w:rPr>
          <w:rFonts w:ascii="GHEA Grapalat" w:eastAsia="Arial" w:hAnsi="GHEA Grapalat"/>
          <w:b/>
          <w:sz w:val="24"/>
          <w:szCs w:val="24"/>
          <w:lang w:val="hy-AM"/>
        </w:rPr>
      </w:pPr>
      <w:r w:rsidRPr="00286852">
        <w:rPr>
          <w:rFonts w:ascii="GHEA Grapalat" w:eastAsia="Arial" w:hAnsi="GHEA Grapalat"/>
          <w:i/>
          <w:sz w:val="24"/>
          <w:szCs w:val="24"/>
          <w:lang w:val="hy-AM"/>
        </w:rPr>
        <w:t>Մարդու պապիլոմավիրուսային պատվաստանյութի պահպանում</w:t>
      </w:r>
    </w:p>
    <w:p w:rsidR="000A5EF4" w:rsidRPr="00286852" w:rsidRDefault="000A5EF4" w:rsidP="00CB4DBF">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ՄՊՎ-ի դեմ պատվաստանյութերը պետք է պահպանվեն +2°-+8°C ջերմաստիճանում, չի կարելի սառեցնել և պետք է ներմուծել հնարավորինս շուտ սառնարանից հանելուց հետո: Սակայն երկվալենտ պատվաստանյութը, եթե պահպանվում է սառնարանից դուրս, մինչև 3 օր այն կարող է պահվել +8°- +25° C ջերմաստիճանում կամ մինչև 1 օր 25°-ից մինչև 37°C ջերմաստիճանում: Քառավալենտ պատվաստանյութի կայունության համար ուսումնասիրությունները ցույց են տվել, որ պատվաստանյութը կայուն է 3 օրվա ընթացքում, երբ 8 °C- ից մինչև 42 °C ջերմաստիճանում է պահվում: Իննավալենտ պատվաստանյութն եթե պահպանվում է սառնարանից դուրս, մինչև 3 օր այն կարող է պահվել +8°- +25° C ջերմաստիճանում:</w:t>
      </w:r>
    </w:p>
    <w:p w:rsidR="000301AD" w:rsidRPr="00286852" w:rsidRDefault="000301AD" w:rsidP="000301AD">
      <w:pPr>
        <w:spacing w:line="253"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Պատվաստանյութի իմունոգենություն, արդյունավետություն</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 ՄՊՎ-ի դեմ պատվաստանյութից առաջացած պաշտպանակյան մեխանիզմները հիմնված են կենդանիների  փորձնական հետազոտությունների վրա, կապված չեզոքացնող պոլիկլոնային հակամարմինների՝ LI 24 վիրուսի թաղանթի հիմնական սպիտակուցի հանդեպ: Պատվաստանյութերի կլինիկական փորձարկումների ժամանակ հակամարմինների տիտրը հասնում է առավելագույն մակարդակի 3-րդ դեղաչափից 4 շաբաթ անց և նվազում է առաջին մեկ տարվա ընթացքում, </w:t>
      </w:r>
      <w:r w:rsidRPr="00286852">
        <w:rPr>
          <w:rFonts w:ascii="GHEA Grapalat" w:eastAsia="Times New Roman" w:hAnsi="GHEA Grapalat"/>
          <w:sz w:val="24"/>
          <w:szCs w:val="24"/>
          <w:lang w:val="hy-AM"/>
        </w:rPr>
        <w:lastRenderedPageBreak/>
        <w:t>այնուհետև կարգավորվում է 18 ամիս հետո: Պատվաստանյութի նկատմամբ սերոլոգիական պատասխանը ավելի ուժեղ է</w:t>
      </w:r>
      <w:r w:rsidR="00411643"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(1-4 անգամ), քան բնական վարակի դեպքում: Դրա պատճառներն անհայտ են, բայց կարող են կապված լինել ավշային հանգույցների բջիջների լավ ակտիվացմամբ, նաև պատվաստանյութում պարունակվող խթանիչների հետ: Երկարակյաց պլազմոցիտները, որոնք գտնվում են ոսկրածուծում, մշտական  արտադրում են IgG հակամարմիններ և կրում են ՄՊՎ-ի յուրահատուկ հակամարմինների երկարատև գոյությունը: Ենթադրվում է, որ պատվաստանյութի շրջանառվող հակամարմինները հասնում են վարակված մասը, ի շնորհիվ IgG-ի ակտիվ ներթափանցմանը  կանաց սեռական օրգաններ: Պատվաստումներն իրենց հերթին ակտիվացնում են հիշողության B բջիջներին, չնայած ապացուցված չի նրանց երկարատև պաշտպանությունը</w:t>
      </w:r>
      <w:r w:rsidRPr="00286852">
        <w:rPr>
          <w:rFonts w:ascii="GHEA Grapalat" w:eastAsia="Times New Roman" w:hAnsi="GHEA Grapalat"/>
          <w:sz w:val="24"/>
          <w:szCs w:val="24"/>
          <w:vertAlign w:val="superscript"/>
          <w:lang w:val="hy-AM"/>
        </w:rPr>
        <w:t>40</w:t>
      </w:r>
      <w:r w:rsidRPr="00286852">
        <w:rPr>
          <w:rFonts w:ascii="GHEA Grapalat" w:eastAsia="Times New Roman" w:hAnsi="GHEA Grapalat"/>
          <w:sz w:val="24"/>
          <w:szCs w:val="24"/>
          <w:lang w:val="hy-AM"/>
        </w:rPr>
        <w:t>: Պաշտպանական արդյունավետությունը կախված է հակամարմինների քանակից, ինչպես նաև պատվաստանյութի ներգործության ենթարկված հակամարմինների որակից</w:t>
      </w:r>
      <w:r w:rsidRPr="00286852">
        <w:rPr>
          <w:rFonts w:ascii="GHEA Grapalat" w:eastAsia="Times New Roman" w:hAnsi="GHEA Grapalat"/>
          <w:sz w:val="24"/>
          <w:szCs w:val="24"/>
          <w:vertAlign w:val="superscript"/>
          <w:lang w:val="hy-AM"/>
        </w:rPr>
        <w:t>41</w:t>
      </w:r>
      <w:r w:rsidRPr="00286852">
        <w:rPr>
          <w:rFonts w:ascii="GHEA Grapalat" w:eastAsia="Times New Roman" w:hAnsi="GHEA Grapalat"/>
          <w:sz w:val="24"/>
          <w:szCs w:val="24"/>
          <w:lang w:val="hy-AM"/>
        </w:rPr>
        <w:t xml:space="preserve">: Հիշողության B բջիջները, որոնք առաջացել են պատվաստանյութի առաջին դեղաչափից, պահանջում են առնվազն 4-6 ամիս, հասունանալու և բարձր դիֆենցվածության B բջիջներ ձևավորվելու համար: Դա նշանակում է, որ պատվաստման ցանկացած օրացույցում  պետք է պահպանվի առնվազն 4 </w:t>
      </w:r>
      <w:r w:rsidRPr="00286852">
        <w:rPr>
          <w:rFonts w:ascii="GHEA Grapalat" w:eastAsia="Times New Roman" w:hAnsi="GHEA Grapalat"/>
          <w:sz w:val="24"/>
          <w:szCs w:val="24"/>
          <w:lang w:val="hy-AM"/>
        </w:rPr>
        <w:lastRenderedPageBreak/>
        <w:t>ամիս ընդմիջում հիմնական դեղաչափի՝ առաջին և վերջին դեղաչափերի միջև, որպեսզի արդյունավետ ակտիվացնի հիշողության  B բջիջներին, որոնք բարձր դիֆերենցիացիայի ենթարկվելով պետք է առաջացնեն հակամարմիններ: Տվյալներն այն մասին, որ մեկ դեղաչափը հանդիսանում է պաշտպանության բավարար մակարդակ, հակասական է: Վերջին հետազոտությունները ցույց են տվել, որ երկվալենտ պատվաստանյութի մեկ դեղաչափի պաշտպանական պատասխանն ապահովում է 100% հակամարմինների առաջացում՝ պաշտպանություն  ՄՊՎ-ի 16 և 18 շճատիպերի դեմ մինչև 4 տարի</w:t>
      </w:r>
      <w:r w:rsidRPr="00286852">
        <w:rPr>
          <w:rFonts w:ascii="GHEA Grapalat" w:eastAsia="Times New Roman" w:hAnsi="GHEA Grapalat"/>
          <w:sz w:val="24"/>
          <w:szCs w:val="24"/>
          <w:vertAlign w:val="superscript"/>
          <w:lang w:val="hy-AM"/>
        </w:rPr>
        <w:t>42</w:t>
      </w:r>
      <w:r w:rsidRPr="00286852">
        <w:rPr>
          <w:rFonts w:ascii="GHEA Grapalat" w:eastAsia="Times New Roman" w:hAnsi="GHEA Grapalat"/>
          <w:sz w:val="24"/>
          <w:szCs w:val="24"/>
          <w:lang w:val="hy-AM"/>
        </w:rPr>
        <w:t>: Եվ հակառակը,այլ հետազոտություններ ցույց են տվել, որ քառավալենտ պատվաստանյութի մեկ դեղաչափ ստացած կանաց մոտ 5 տարի հետո ունեցել են բջիջների ավելի բարձր կուտակում, ադենոկարցինոմա, արգանդի պարանոցի քաղցկեղ և բարձր դեֆերենցվածության ցիտոլոգիա (4,3%), քան 2 դեղաչափ ստացած կանաց մոտ (3,0%): Պատվաստված ֆիզիկական անձանց չհաշվառված դեպքերը դեռ հստակ որոշված չեն կլինիկական հետազոտություններում` որը խանգարում է հակամարմինների մինիմալ մակարդակի որոշմանը, որն անհրաժեշտ կլիներ պաշտպանվելու կրկնվող վարակից կամ նախաքաղցկեղային 2-րդ և 3-րդ աստիճանի ախտահարումից:</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Այսպիսով որևէ կոնկրետ իմունային փոխհարաբերություն դեռևս առկա չէ: Սպեցիֆկ թեստերը, որոնք մշակվել են իմունային պատասխանը գնահատելու համար ներառում են՝</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Վիրուսանման մասնիկների իմունաֆերմենտային հետազոտություն, նշագրված մոնոկլոնալ նեյտրալիզացնող հակամարմիններով մրցակցային իմունոլոգիական հետազոտություն և in vitro նեյտրալիզացիա: </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Երկվալենտ և  քառավալենտ պատվաստանյութերի փորձարկումների համար օգտագործվել են տարբեր սերոլոգիական հետազոտություններ և արդյունքները չեն կարող ուղղակիորեն համեմատվել:</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Լրացուցիչ տեղեկություններ կարող եք գտնել «Խորհրդատվություն՝ ՄՊՎ-ի դեմ պատվաստանյութի վերաբերյալ, որոնք ստացվել են վիրուսանման մասնիկների հիման վրա, նրանց որակի, անվտանգության,  ռեկոմբինանտ պատվաստանյութերի արդյունավետության  և ԱՀԿ-ի մշակած «ՄՊՎ վարակի դեմ ուսումնական լաբորատոր ձեռնարկում »:</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ՄՊՎ-ի դեմ պատվաստանյութերը լիցենզավորվել են գիտական կլինիկական փորձերի արդյունավետության հիման վրա, որոնք կատարվել են երիտասարդ հասուն կանաց և հասուն  տղամարդկանց շրջանում:</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Բոլոր երեք պատվաստանյութերի համար, որոնց արդյունավետության ուսումնասիրությունը հնարավոր չէ իրականացնել էթիկական նկատառումներից ելնելով և վարակվելու պահից մինչև կլինիկական ախտանշաններն ի հայտ գալու երկար ժամանակաշրջանը (15-20տարի), նախադեռահասային  և դեռահասային տարիքի  տղաների և աղջիկների մոտ տարիքային սահմանների  ընդլայնումը հնարավոր է դարձել այն հետազոտությունների հիման վրա, որոնք ապացուցեցին, որ դեռահաս  աղջիկների մոտ իմուն պատասխանն ավելի ցածր չի, քան կանանց մոտ:</w:t>
      </w:r>
    </w:p>
    <w:p w:rsidR="000301AD" w:rsidRPr="00286852" w:rsidRDefault="000301AD" w:rsidP="000301AD">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Երեք դեղաչափանոց պատվաստումների օրացույց</w:t>
      </w:r>
    </w:p>
    <w:p w:rsidR="000301AD" w:rsidRPr="00286852" w:rsidRDefault="000301AD" w:rsidP="000301AD">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sz w:val="24"/>
          <w:szCs w:val="24"/>
          <w:lang w:val="hy-AM"/>
        </w:rPr>
        <w:t>ՄՊՎ-ի դեմ բոլոր երեք պատվաստանյութերը նախապես լիցենզավորվել և մտել են շուկա երեք դեղաչափով կիրառման համար:</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Սակայն 2 դեղաչափով պատվաստումային օրացույցը ժամանակի ընթացքում հաստատվել է բոլոր 3 պատվաստանյութերի համար՝ իմունոգենության վերաբերյալ տվյալների հիման վրա: 2 դեղաչափով օրացույցի հաստատումը հիմնված էր երիտասարդ կանանց շրջանում իմունային պատասխանի պատշաճ դրսևորման վրա, որոնց մոտ արդյունավետությունն ապացուցված է:</w:t>
      </w:r>
    </w:p>
    <w:p w:rsidR="000301AD" w:rsidRPr="00286852" w:rsidRDefault="000301AD" w:rsidP="000301AD">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Երկվալենտ, քառավալենտ, իննավալենտ պատվաստանյութերի երեք դեղաչափի կիրառումը ցույց տվեց բարձր իմունոգենություն 9-15 տարեկան աղջիկների համար: Հակամարմինների տիտրերը առնվազն 10 տարի բարձր են երկվալենտ պատվաստանյութի կիրառման ժամանակ` 100% սերոպոզիտվ՝ հակամարմինների բարձր տիտր, առնվազն 9.9 տարի քառավալենտի համար և իննավալենտի համար՝ 5 տարի:</w:t>
      </w:r>
    </w:p>
    <w:p w:rsidR="00A47CB6" w:rsidRPr="00286852" w:rsidRDefault="00A47CB6" w:rsidP="00C56824">
      <w:pPr>
        <w:spacing w:after="0"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Քառավալենտ պատվաստանյութը գնահատվել է երեք </w:t>
      </w:r>
      <w:r w:rsidR="005B60A7" w:rsidRPr="00286852">
        <w:rPr>
          <w:rFonts w:ascii="GHEA Grapalat" w:eastAsia="Times New Roman" w:hAnsi="GHEA Grapalat"/>
          <w:sz w:val="24"/>
          <w:szCs w:val="24"/>
          <w:lang w:val="hy-AM"/>
        </w:rPr>
        <w:t>հետազոտությամբ 2</w:t>
      </w:r>
      <w:r w:rsidRPr="00286852">
        <w:rPr>
          <w:rFonts w:ascii="GHEA Grapalat" w:eastAsia="Times New Roman" w:hAnsi="GHEA Grapalat"/>
          <w:sz w:val="24"/>
          <w:szCs w:val="24"/>
          <w:lang w:val="hy-AM"/>
        </w:rPr>
        <w:t xml:space="preserve"> /</w:t>
      </w:r>
      <w:r w:rsidR="005B60A7" w:rsidRPr="00286852">
        <w:rPr>
          <w:rFonts w:ascii="GHEA Grapalat" w:eastAsia="Times New Roman" w:hAnsi="GHEA Grapalat"/>
          <w:sz w:val="24"/>
          <w:szCs w:val="24"/>
          <w:lang w:val="hy-AM"/>
        </w:rPr>
        <w:t>3 փուլում</w:t>
      </w:r>
      <w:r w:rsidRPr="00286852">
        <w:rPr>
          <w:rFonts w:ascii="GHEA Grapalat" w:eastAsia="Times New Roman" w:hAnsi="GHEA Grapalat"/>
          <w:sz w:val="24"/>
          <w:szCs w:val="24"/>
          <w:lang w:val="hy-AM"/>
        </w:rPr>
        <w:t xml:space="preserve">: Երկարաժամկետ հետազոտության ընթացքում պարզ է դարձել, որ </w:t>
      </w:r>
      <w:r w:rsidR="00CE2F4B" w:rsidRPr="00286852">
        <w:rPr>
          <w:rFonts w:ascii="GHEA Grapalat" w:eastAsia="Times New Roman" w:hAnsi="GHEA Grapalat"/>
          <w:sz w:val="24"/>
          <w:szCs w:val="24"/>
          <w:lang w:val="hy-AM"/>
        </w:rPr>
        <w:t xml:space="preserve">շճադրականների մոտ  </w:t>
      </w:r>
      <w:r w:rsidRPr="00286852">
        <w:rPr>
          <w:rFonts w:ascii="GHEA Grapalat" w:eastAsia="Times New Roman" w:hAnsi="GHEA Grapalat"/>
          <w:sz w:val="24"/>
          <w:szCs w:val="24"/>
          <w:lang w:val="hy-AM"/>
        </w:rPr>
        <w:t xml:space="preserve"> </w:t>
      </w:r>
      <w:r w:rsidR="00CE2F4B" w:rsidRPr="00286852">
        <w:rPr>
          <w:rFonts w:ascii="GHEA Grapalat" w:eastAsia="Times New Roman" w:hAnsi="GHEA Grapalat"/>
          <w:sz w:val="24"/>
          <w:szCs w:val="24"/>
          <w:lang w:val="hy-AM"/>
        </w:rPr>
        <w:t xml:space="preserve">IgG </w:t>
      </w:r>
      <w:r w:rsidRPr="00286852">
        <w:rPr>
          <w:rFonts w:ascii="GHEA Grapalat" w:eastAsia="Times New Roman" w:hAnsi="GHEA Grapalat"/>
          <w:sz w:val="24"/>
          <w:szCs w:val="24"/>
          <w:lang w:val="hy-AM"/>
        </w:rPr>
        <w:t>ցուցանիշներ</w:t>
      </w:r>
      <w:r w:rsidR="00CE2F4B" w:rsidRPr="00286852">
        <w:rPr>
          <w:rFonts w:ascii="GHEA Grapalat" w:eastAsia="Times New Roman" w:hAnsi="GHEA Grapalat"/>
          <w:sz w:val="24"/>
          <w:szCs w:val="24"/>
          <w:lang w:val="hy-AM"/>
        </w:rPr>
        <w:t>ի մակարդակը</w:t>
      </w:r>
      <w:r w:rsidRPr="00286852">
        <w:rPr>
          <w:rFonts w:ascii="GHEA Grapalat" w:eastAsia="Times New Roman" w:hAnsi="GHEA Grapalat"/>
          <w:sz w:val="24"/>
          <w:szCs w:val="24"/>
          <w:lang w:val="hy-AM"/>
        </w:rPr>
        <w:t xml:space="preserve"> Luminex իմուն</w:t>
      </w:r>
      <w:r w:rsidR="00CE2F4B" w:rsidRPr="00286852">
        <w:rPr>
          <w:rFonts w:ascii="GHEA Grapalat" w:eastAsia="Times New Roman" w:hAnsi="GHEA Grapalat"/>
          <w:sz w:val="24"/>
          <w:szCs w:val="24"/>
          <w:lang w:val="hy-AM"/>
        </w:rPr>
        <w:t xml:space="preserve">աբանական </w:t>
      </w:r>
      <w:r w:rsidRPr="00286852">
        <w:rPr>
          <w:rFonts w:ascii="GHEA Grapalat" w:eastAsia="Times New Roman" w:hAnsi="GHEA Grapalat"/>
          <w:sz w:val="24"/>
          <w:szCs w:val="24"/>
          <w:lang w:val="hy-AM"/>
        </w:rPr>
        <w:t xml:space="preserve">հետազոտության  </w:t>
      </w:r>
      <w:r w:rsidR="00CE2F4B" w:rsidRPr="00286852">
        <w:rPr>
          <w:rFonts w:ascii="GHEA Grapalat" w:eastAsia="Times New Roman" w:hAnsi="GHEA Grapalat"/>
          <w:sz w:val="24"/>
          <w:szCs w:val="24"/>
          <w:lang w:val="hy-AM"/>
        </w:rPr>
        <w:t>արդյունքում</w:t>
      </w:r>
      <w:r w:rsidRPr="00286852">
        <w:rPr>
          <w:rFonts w:ascii="GHEA Grapalat" w:eastAsia="Times New Roman" w:hAnsi="GHEA Grapalat"/>
          <w:sz w:val="24"/>
          <w:szCs w:val="24"/>
          <w:lang w:val="hy-AM"/>
        </w:rPr>
        <w:t xml:space="preserve">  </w:t>
      </w:r>
      <w:r w:rsidR="00CE2F4B" w:rsidRPr="00286852">
        <w:rPr>
          <w:rFonts w:ascii="GHEA Grapalat" w:eastAsia="Times New Roman" w:hAnsi="GHEA Grapalat"/>
          <w:sz w:val="24"/>
          <w:szCs w:val="24"/>
          <w:lang w:val="hy-AM"/>
        </w:rPr>
        <w:t xml:space="preserve">համապատասխանաբար </w:t>
      </w:r>
      <w:r w:rsidRPr="00286852">
        <w:rPr>
          <w:rFonts w:ascii="GHEA Grapalat" w:eastAsia="Times New Roman" w:hAnsi="GHEA Grapalat"/>
          <w:sz w:val="24"/>
          <w:szCs w:val="24"/>
          <w:lang w:val="hy-AM"/>
        </w:rPr>
        <w:t>եղել են 97,6%, 96,3%, 100% և 91,4% ՄՊՎ</w:t>
      </w:r>
      <w:r w:rsidR="00CE2F4B" w:rsidRPr="00286852">
        <w:rPr>
          <w:rFonts w:ascii="GHEA Grapalat" w:eastAsia="Times New Roman" w:hAnsi="GHEA Grapalat"/>
          <w:sz w:val="24"/>
          <w:szCs w:val="24"/>
          <w:lang w:val="hy-AM"/>
        </w:rPr>
        <w:t>-ի</w:t>
      </w:r>
      <w:r w:rsidRPr="00286852">
        <w:rPr>
          <w:rFonts w:ascii="GHEA Grapalat" w:eastAsia="Times New Roman" w:hAnsi="GHEA Grapalat"/>
          <w:sz w:val="24"/>
          <w:szCs w:val="24"/>
          <w:lang w:val="hy-AM"/>
        </w:rPr>
        <w:t xml:space="preserve"> 6, 11, 16 և 18, 50 </w:t>
      </w:r>
      <w:r w:rsidR="00CE2F4B" w:rsidRPr="00286852">
        <w:rPr>
          <w:rFonts w:ascii="GHEA Grapalat" w:eastAsia="Times New Roman" w:hAnsi="GHEA Grapalat"/>
          <w:sz w:val="24"/>
          <w:szCs w:val="24"/>
          <w:lang w:val="hy-AM"/>
        </w:rPr>
        <w:t>շճա</w:t>
      </w:r>
      <w:r w:rsidRPr="00286852">
        <w:rPr>
          <w:rFonts w:ascii="GHEA Grapalat" w:eastAsia="Times New Roman" w:hAnsi="GHEA Grapalat"/>
          <w:sz w:val="24"/>
          <w:szCs w:val="24"/>
          <w:lang w:val="hy-AM"/>
        </w:rPr>
        <w:t xml:space="preserve">տիպերի </w:t>
      </w:r>
      <w:r w:rsidR="00EB6DCA" w:rsidRPr="00286852">
        <w:rPr>
          <w:rFonts w:ascii="GHEA Grapalat" w:eastAsia="Times New Roman" w:hAnsi="GHEA Grapalat"/>
          <w:sz w:val="24"/>
          <w:szCs w:val="24"/>
          <w:lang w:val="hy-AM"/>
        </w:rPr>
        <w:t>համար: Բարձր արդյունավետություն է արձանագրվել նախահավաստագրման փուլում իրականացված ՄՊՎ-ի դեմ պատվաստանյութի հետազոտությունների արդյունքում, մասնավորապես</w:t>
      </w:r>
      <w:r w:rsidRPr="00286852">
        <w:rPr>
          <w:rFonts w:ascii="GHEA Grapalat" w:eastAsia="Times New Roman" w:hAnsi="GHEA Grapalat"/>
          <w:sz w:val="24"/>
          <w:szCs w:val="24"/>
          <w:lang w:val="hy-AM"/>
        </w:rPr>
        <w:t xml:space="preserve"> արգանդի պարանոցի</w:t>
      </w:r>
      <w:r w:rsidR="00EB6DCA" w:rsidRPr="00286852">
        <w:rPr>
          <w:rFonts w:ascii="GHEA Grapalat" w:eastAsia="Times New Roman" w:hAnsi="GHEA Grapalat"/>
          <w:sz w:val="24"/>
          <w:szCs w:val="24"/>
          <w:lang w:val="hy-AM"/>
        </w:rPr>
        <w:t>, արտաքին սեռական օրգանների</w:t>
      </w:r>
      <w:r w:rsidRPr="00286852">
        <w:rPr>
          <w:rFonts w:ascii="GHEA Grapalat" w:eastAsia="Times New Roman" w:hAnsi="GHEA Grapalat"/>
          <w:sz w:val="24"/>
          <w:szCs w:val="24"/>
          <w:lang w:val="hy-AM"/>
        </w:rPr>
        <w:t xml:space="preserve"> և հեշտոցի քաղցկեղի դեմ (98.2% 95% CI: 93.3-99.8) CIN2 +- ի համար և (100% 95% CI: 82.6-100), </w:t>
      </w:r>
      <w:r w:rsidR="00EB6DCA" w:rsidRPr="00286852">
        <w:rPr>
          <w:rFonts w:ascii="GHEA Grapalat" w:eastAsia="Times New Roman" w:hAnsi="GHEA Grapalat"/>
          <w:sz w:val="24"/>
          <w:szCs w:val="24"/>
          <w:lang w:val="hy-AM"/>
        </w:rPr>
        <w:t xml:space="preserve">հեշտոցի </w:t>
      </w:r>
      <w:r w:rsidRPr="00286852">
        <w:rPr>
          <w:rFonts w:ascii="GHEA Grapalat" w:eastAsia="Times New Roman" w:hAnsi="GHEA Grapalat"/>
          <w:sz w:val="24"/>
          <w:szCs w:val="24"/>
          <w:lang w:val="hy-AM"/>
        </w:rPr>
        <w:t>ներէպիթելային նեոպլազիայի 2+</w:t>
      </w:r>
      <w:r w:rsidR="00EB6DCA"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տիպի և </w:t>
      </w:r>
      <w:r w:rsidR="00EB6DCA" w:rsidRPr="00286852">
        <w:rPr>
          <w:rFonts w:ascii="GHEA Grapalat" w:eastAsia="Times New Roman" w:hAnsi="GHEA Grapalat"/>
          <w:sz w:val="24"/>
          <w:szCs w:val="24"/>
          <w:lang w:val="hy-AM"/>
        </w:rPr>
        <w:t>արտաքին սեռական օրգանների</w:t>
      </w:r>
      <w:r w:rsidRPr="00286852">
        <w:rPr>
          <w:rFonts w:ascii="GHEA Grapalat" w:eastAsia="Times New Roman" w:hAnsi="GHEA Grapalat"/>
          <w:sz w:val="24"/>
          <w:szCs w:val="24"/>
          <w:lang w:val="hy-AM"/>
        </w:rPr>
        <w:t xml:space="preserve"> ներէպիթելային նեոպլազիայի 2+ տիպի համար պատվաստված </w:t>
      </w:r>
      <w:r w:rsidRPr="00286852">
        <w:rPr>
          <w:rFonts w:ascii="GHEA Grapalat" w:eastAsia="Times New Roman" w:hAnsi="GHEA Grapalat"/>
          <w:sz w:val="24"/>
          <w:szCs w:val="24"/>
          <w:lang w:val="hy-AM"/>
        </w:rPr>
        <w:lastRenderedPageBreak/>
        <w:t xml:space="preserve">անձանց մոտ, որոնք դեռ վարակված չեն ՄՊՎ-ով։ </w:t>
      </w:r>
      <w:r w:rsidRPr="00286852">
        <w:rPr>
          <w:rFonts w:ascii="GHEA Grapalat" w:eastAsia="Times New Roman" w:hAnsi="GHEA Grapalat"/>
          <w:sz w:val="18"/>
          <w:szCs w:val="18"/>
          <w:lang w:val="hy-AM"/>
        </w:rPr>
        <w:t>52</w:t>
      </w:r>
      <w:r w:rsidR="00EB6DCA" w:rsidRPr="00286852">
        <w:rPr>
          <w:rFonts w:ascii="GHEA Grapalat" w:eastAsia="Times New Roman" w:hAnsi="GHEA Grapalat"/>
          <w:sz w:val="24"/>
          <w:szCs w:val="24"/>
          <w:lang w:val="hy-AM"/>
        </w:rPr>
        <w:t>. Պատվաստանյութի կլինիկական արդյունավետությու</w:t>
      </w:r>
      <w:r w:rsidRPr="00286852">
        <w:rPr>
          <w:rFonts w:ascii="GHEA Grapalat" w:eastAsia="Times New Roman" w:hAnsi="GHEA Grapalat"/>
          <w:sz w:val="24"/>
          <w:szCs w:val="24"/>
          <w:lang w:val="hy-AM"/>
        </w:rPr>
        <w:t xml:space="preserve">նը </w:t>
      </w:r>
      <w:r w:rsidR="00EB6DCA" w:rsidRPr="00286852">
        <w:rPr>
          <w:rFonts w:ascii="GHEA Grapalat" w:eastAsia="Times New Roman" w:hAnsi="GHEA Grapalat"/>
          <w:sz w:val="24"/>
          <w:szCs w:val="24"/>
          <w:lang w:val="hy-AM"/>
        </w:rPr>
        <w:t xml:space="preserve">դրսևորվել է ՄՊՎ </w:t>
      </w:r>
      <w:r w:rsidRPr="00286852">
        <w:rPr>
          <w:rFonts w:ascii="GHEA Grapalat" w:eastAsia="Times New Roman" w:hAnsi="GHEA Grapalat"/>
          <w:sz w:val="24"/>
          <w:szCs w:val="24"/>
          <w:lang w:val="hy-AM"/>
        </w:rPr>
        <w:t>վարակի</w:t>
      </w:r>
      <w:r w:rsidR="00EB6DCA" w:rsidRPr="00286852">
        <w:rPr>
          <w:rFonts w:ascii="GHEA Grapalat" w:eastAsia="Times New Roman" w:hAnsi="GHEA Grapalat"/>
          <w:sz w:val="24"/>
          <w:szCs w:val="24"/>
          <w:lang w:val="hy-AM"/>
        </w:rPr>
        <w:t>, ինչպես նաև</w:t>
      </w:r>
      <w:r w:rsidRPr="00286852">
        <w:rPr>
          <w:rFonts w:ascii="GHEA Grapalat" w:eastAsia="Times New Roman" w:hAnsi="GHEA Grapalat"/>
          <w:sz w:val="24"/>
          <w:szCs w:val="24"/>
          <w:lang w:val="hy-AM"/>
        </w:rPr>
        <w:t xml:space="preserve"> արգանդի </w:t>
      </w:r>
      <w:r w:rsidR="00EB6DCA" w:rsidRPr="00286852">
        <w:rPr>
          <w:rFonts w:ascii="GHEA Grapalat" w:eastAsia="Times New Roman" w:hAnsi="GHEA Grapalat"/>
          <w:sz w:val="24"/>
          <w:szCs w:val="24"/>
          <w:lang w:val="hy-AM"/>
        </w:rPr>
        <w:t>պարանոցի, հեշտոցի և արտաքին սեռական օրգանների ախտահարման կանխարգելման առումով</w:t>
      </w:r>
      <w:r w:rsidRPr="00286852">
        <w:rPr>
          <w:rFonts w:ascii="GHEA Grapalat" w:eastAsia="Times New Roman" w:hAnsi="GHEA Grapalat"/>
          <w:sz w:val="24"/>
          <w:szCs w:val="24"/>
          <w:lang w:val="hy-AM"/>
        </w:rPr>
        <w:t xml:space="preserve">: </w:t>
      </w:r>
      <w:r w:rsidRPr="00286852">
        <w:rPr>
          <w:rFonts w:ascii="GHEA Grapalat" w:eastAsia="Times New Roman" w:hAnsi="GHEA Grapalat"/>
          <w:sz w:val="18"/>
          <w:szCs w:val="18"/>
          <w:lang w:val="hy-AM"/>
        </w:rPr>
        <w:t>53</w:t>
      </w:r>
    </w:p>
    <w:p w:rsidR="00A47CB6" w:rsidRPr="00286852" w:rsidRDefault="00A47CB6" w:rsidP="00C56824">
      <w:pPr>
        <w:spacing w:after="0"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 Երկվալենտ պատվաստանյութի արդյունավետությունը գնահատվել է 2 հետազոտությամբ </w:t>
      </w:r>
      <w:r w:rsidR="00C56824" w:rsidRPr="00286852">
        <w:rPr>
          <w:rFonts w:ascii="GHEA Grapalat" w:eastAsia="Times New Roman" w:hAnsi="GHEA Grapalat"/>
          <w:sz w:val="24"/>
          <w:szCs w:val="24"/>
          <w:lang w:val="hy-AM"/>
        </w:rPr>
        <w:t>2-րդ</w:t>
      </w:r>
      <w:r w:rsidRPr="00286852">
        <w:rPr>
          <w:rFonts w:ascii="GHEA Grapalat" w:eastAsia="Times New Roman" w:hAnsi="GHEA Grapalat"/>
          <w:sz w:val="24"/>
          <w:szCs w:val="24"/>
          <w:lang w:val="hy-AM"/>
        </w:rPr>
        <w:t xml:space="preserve"> փուլում: </w:t>
      </w:r>
      <w:r w:rsidRPr="00286852">
        <w:rPr>
          <w:rFonts w:ascii="GHEA Grapalat" w:eastAsia="Times New Roman" w:hAnsi="GHEA Grapalat"/>
          <w:sz w:val="18"/>
          <w:szCs w:val="18"/>
          <w:lang w:val="hy-AM"/>
        </w:rPr>
        <w:t>54, 55</w:t>
      </w:r>
      <w:r w:rsidRPr="00286852">
        <w:rPr>
          <w:rFonts w:ascii="GHEA Grapalat" w:eastAsia="Times New Roman" w:hAnsi="GHEA Grapalat"/>
          <w:sz w:val="24"/>
          <w:szCs w:val="24"/>
          <w:lang w:val="hy-AM"/>
        </w:rPr>
        <w:t xml:space="preserve"> Երկու հետազոտություններում էլ նշվել է բարձր արդյունավետությունը </w:t>
      </w:r>
      <w:r w:rsidR="00C56824" w:rsidRPr="00286852">
        <w:rPr>
          <w:rFonts w:ascii="GHEA Grapalat" w:eastAsia="Times New Roman" w:hAnsi="GHEA Grapalat"/>
          <w:sz w:val="24"/>
          <w:szCs w:val="24"/>
          <w:lang w:val="hy-AM"/>
        </w:rPr>
        <w:t xml:space="preserve">ՄՊՎ </w:t>
      </w:r>
      <w:r w:rsidRPr="00286852">
        <w:rPr>
          <w:rFonts w:ascii="GHEA Grapalat" w:eastAsia="Times New Roman" w:hAnsi="GHEA Grapalat"/>
          <w:sz w:val="24"/>
          <w:szCs w:val="24"/>
          <w:lang w:val="hy-AM"/>
        </w:rPr>
        <w:t xml:space="preserve">վարակի և արգանդի պարանոցի քաղցկեղի </w:t>
      </w:r>
      <w:r w:rsidR="00C56824" w:rsidRPr="00286852">
        <w:rPr>
          <w:rFonts w:ascii="GHEA Grapalat" w:eastAsia="Times New Roman" w:hAnsi="GHEA Grapalat"/>
          <w:sz w:val="24"/>
          <w:szCs w:val="24"/>
          <w:lang w:val="hy-AM"/>
        </w:rPr>
        <w:t>կանխարգելման առումով՝ պայմանավոր</w:t>
      </w:r>
      <w:r w:rsidRPr="00286852">
        <w:rPr>
          <w:rFonts w:ascii="GHEA Grapalat" w:eastAsia="Times New Roman" w:hAnsi="GHEA Grapalat"/>
          <w:sz w:val="24"/>
          <w:szCs w:val="24"/>
          <w:lang w:val="hy-AM"/>
        </w:rPr>
        <w:t xml:space="preserve">ված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-16 և </w:t>
      </w:r>
      <w:r w:rsidR="00B32ABD" w:rsidRPr="00286852">
        <w:rPr>
          <w:rFonts w:ascii="GHEA Grapalat" w:eastAsia="Times New Roman" w:hAnsi="GHEA Grapalat"/>
          <w:sz w:val="24"/>
          <w:szCs w:val="24"/>
          <w:lang w:val="hy-AM"/>
        </w:rPr>
        <w:t>ՄՊՎ</w:t>
      </w:r>
      <w:r w:rsidR="00C56824" w:rsidRPr="00286852">
        <w:rPr>
          <w:rFonts w:ascii="GHEA Grapalat" w:eastAsia="Times New Roman" w:hAnsi="GHEA Grapalat"/>
          <w:sz w:val="24"/>
          <w:szCs w:val="24"/>
          <w:lang w:val="hy-AM"/>
        </w:rPr>
        <w:t>-18-ով</w:t>
      </w:r>
      <w:r w:rsidRPr="00286852">
        <w:rPr>
          <w:rFonts w:ascii="GHEA Grapalat" w:eastAsia="Times New Roman" w:hAnsi="GHEA Grapalat"/>
          <w:sz w:val="24"/>
          <w:szCs w:val="24"/>
          <w:lang w:val="hy-AM"/>
        </w:rPr>
        <w:t>, կանանց մոտ, ովքեր վարակված չեն ՄՊՎ-ով։ Մեկ հետազոտության արդյունքում, արդյունավետությունը կազմ</w:t>
      </w:r>
      <w:r w:rsidR="00C56824" w:rsidRPr="00286852">
        <w:rPr>
          <w:rFonts w:ascii="GHEA Grapalat" w:eastAsia="Times New Roman" w:hAnsi="GHEA Grapalat"/>
          <w:sz w:val="24"/>
          <w:szCs w:val="24"/>
          <w:lang w:val="hy-AM"/>
        </w:rPr>
        <w:t>ել</w:t>
      </w:r>
      <w:r w:rsidRPr="00286852">
        <w:rPr>
          <w:rFonts w:ascii="GHEA Grapalat" w:eastAsia="Times New Roman" w:hAnsi="GHEA Grapalat"/>
          <w:sz w:val="24"/>
          <w:szCs w:val="24"/>
          <w:lang w:val="hy-AM"/>
        </w:rPr>
        <w:t xml:space="preserve"> է 64.9%</w:t>
      </w:r>
      <w:r w:rsidR="00C56824"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անկախ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-ի տեսակից, (95% CI: 52.7-74.2) CIN2 + և 93.2% (95% CI: 78.9-98.7) դեմ CIN3 +կանանց մոտ,</w:t>
      </w:r>
      <w:r w:rsidR="00C56824"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ովքեր վարակված չեն ՄՊՎ-ով։</w:t>
      </w:r>
      <w:r w:rsidR="00C56824" w:rsidRPr="00286852">
        <w:rPr>
          <w:rFonts w:ascii="GHEA Grapalat" w:eastAsia="Times New Roman" w:hAnsi="GHEA Grapalat"/>
          <w:sz w:val="24"/>
          <w:szCs w:val="24"/>
          <w:lang w:val="hy-AM"/>
        </w:rPr>
        <w:t xml:space="preserve"> Մյուս հետազոտության մեջ, CIN2 </w:t>
      </w:r>
      <w:r w:rsidRPr="00286852">
        <w:rPr>
          <w:rFonts w:ascii="GHEA Grapalat" w:eastAsia="Times New Roman" w:hAnsi="GHEA Grapalat"/>
          <w:sz w:val="24"/>
          <w:szCs w:val="24"/>
          <w:lang w:val="hy-AM"/>
        </w:rPr>
        <w:t xml:space="preserve"> -ին առնչվող արդյունավետությունը, անկախ տեսակից կազմ</w:t>
      </w:r>
      <w:r w:rsidR="00C56824" w:rsidRPr="00286852">
        <w:rPr>
          <w:rFonts w:ascii="GHEA Grapalat" w:eastAsia="Times New Roman" w:hAnsi="GHEA Grapalat"/>
          <w:sz w:val="24"/>
          <w:szCs w:val="24"/>
          <w:lang w:val="hy-AM"/>
        </w:rPr>
        <w:t>ել</w:t>
      </w:r>
      <w:r w:rsidRPr="00286852">
        <w:rPr>
          <w:rFonts w:ascii="GHEA Grapalat" w:eastAsia="Times New Roman" w:hAnsi="GHEA Grapalat"/>
          <w:sz w:val="24"/>
          <w:szCs w:val="24"/>
          <w:lang w:val="hy-AM"/>
        </w:rPr>
        <w:t xml:space="preserve"> է 80.8% (95% CI: 52.6-93.5), ՄՊՎ-ով չվարակված կանանց մոտ:</w:t>
      </w:r>
    </w:p>
    <w:p w:rsidR="00A47CB6" w:rsidRPr="00286852" w:rsidRDefault="00A47CB6" w:rsidP="00A47CB6">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Երկվալենտ և քառավալենտ պատվաստանյութերի իմունոգենությունը համեմատվել է </w:t>
      </w:r>
      <w:r w:rsidR="00CC277C" w:rsidRPr="00286852">
        <w:rPr>
          <w:rFonts w:ascii="GHEA Grapalat" w:eastAsia="Times New Roman" w:hAnsi="GHEA Grapalat"/>
          <w:sz w:val="24"/>
          <w:szCs w:val="24"/>
          <w:lang w:val="hy-AM"/>
        </w:rPr>
        <w:t>զուգահեռ նմանատիպ</w:t>
      </w:r>
      <w:r w:rsidRPr="00286852">
        <w:rPr>
          <w:rFonts w:ascii="GHEA Grapalat" w:eastAsia="Times New Roman" w:hAnsi="GHEA Grapalat"/>
          <w:sz w:val="24"/>
          <w:szCs w:val="24"/>
          <w:lang w:val="hy-AM"/>
        </w:rPr>
        <w:t xml:space="preserve"> հետազոտությ</w:t>
      </w:r>
      <w:r w:rsidR="00CC277C" w:rsidRPr="00286852">
        <w:rPr>
          <w:rFonts w:ascii="GHEA Grapalat" w:eastAsia="Times New Roman" w:hAnsi="GHEA Grapalat"/>
          <w:sz w:val="24"/>
          <w:szCs w:val="24"/>
          <w:lang w:val="hy-AM"/>
        </w:rPr>
        <w:t>ուններով</w:t>
      </w:r>
      <w:r w:rsidRPr="00286852">
        <w:rPr>
          <w:rFonts w:ascii="GHEA Grapalat" w:eastAsia="Times New Roman" w:hAnsi="GHEA Grapalat"/>
          <w:sz w:val="24"/>
          <w:szCs w:val="24"/>
          <w:lang w:val="hy-AM"/>
        </w:rPr>
        <w:t xml:space="preserve">: Չեզոքացնող հակամարմինները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-16- ի և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-18- ի դեմ, ավելի բարձր էին համապատասխանաբար 3.7 և 7.3 անգամ</w:t>
      </w:r>
      <w:r w:rsidR="00CC277C" w:rsidRPr="00286852">
        <w:rPr>
          <w:rFonts w:ascii="GHEA Grapalat" w:eastAsia="Times New Roman" w:hAnsi="GHEA Grapalat"/>
          <w:sz w:val="24"/>
          <w:szCs w:val="24"/>
          <w:lang w:val="hy-AM"/>
        </w:rPr>
        <w:t xml:space="preserve">, 18-26 տարեկան կանանց մոտ՝ </w:t>
      </w:r>
      <w:r w:rsidR="00CC277C" w:rsidRPr="00286852">
        <w:rPr>
          <w:rFonts w:ascii="GHEA Grapalat" w:eastAsia="Times New Roman" w:hAnsi="GHEA Grapalat"/>
          <w:sz w:val="24"/>
          <w:szCs w:val="24"/>
          <w:lang w:val="hy-AM"/>
        </w:rPr>
        <w:lastRenderedPageBreak/>
        <w:t>պատվաստումից 7</w:t>
      </w:r>
      <w:r w:rsidRPr="00286852">
        <w:rPr>
          <w:rFonts w:ascii="GHEA Grapalat" w:eastAsia="Times New Roman" w:hAnsi="GHEA Grapalat"/>
          <w:sz w:val="24"/>
          <w:szCs w:val="24"/>
          <w:lang w:val="hy-AM"/>
        </w:rPr>
        <w:t xml:space="preserve"> ամ</w:t>
      </w:r>
      <w:r w:rsidR="00CC277C" w:rsidRPr="00286852">
        <w:rPr>
          <w:rFonts w:ascii="GHEA Grapalat" w:eastAsia="Times New Roman" w:hAnsi="GHEA Grapalat"/>
          <w:sz w:val="24"/>
          <w:szCs w:val="24"/>
          <w:lang w:val="hy-AM"/>
        </w:rPr>
        <w:t>ի</w:t>
      </w:r>
      <w:r w:rsidRPr="00286852">
        <w:rPr>
          <w:rFonts w:ascii="GHEA Grapalat" w:eastAsia="Times New Roman" w:hAnsi="GHEA Grapalat"/>
          <w:sz w:val="24"/>
          <w:szCs w:val="24"/>
          <w:lang w:val="hy-AM"/>
        </w:rPr>
        <w:t>ս</w:t>
      </w:r>
      <w:r w:rsidR="00CC277C" w:rsidRPr="00286852">
        <w:rPr>
          <w:rFonts w:ascii="GHEA Grapalat" w:eastAsia="Times New Roman" w:hAnsi="GHEA Grapalat"/>
          <w:sz w:val="24"/>
          <w:szCs w:val="24"/>
          <w:lang w:val="hy-AM"/>
        </w:rPr>
        <w:t xml:space="preserve"> անց</w:t>
      </w:r>
      <w:r w:rsidRPr="00286852">
        <w:rPr>
          <w:rFonts w:ascii="GHEA Grapalat" w:eastAsia="Times New Roman" w:hAnsi="GHEA Grapalat"/>
          <w:sz w:val="24"/>
          <w:szCs w:val="24"/>
          <w:lang w:val="hy-AM"/>
        </w:rPr>
        <w:t xml:space="preserve">։ </w:t>
      </w:r>
      <w:r w:rsidR="00CC277C" w:rsidRPr="00286852">
        <w:rPr>
          <w:rFonts w:ascii="GHEA Grapalat" w:eastAsia="Times New Roman" w:hAnsi="GHEA Grapalat"/>
          <w:sz w:val="24"/>
          <w:szCs w:val="24"/>
          <w:lang w:val="hy-AM"/>
        </w:rPr>
        <w:t xml:space="preserve">Հետազոտությունից </w:t>
      </w:r>
      <w:r w:rsidRPr="00286852">
        <w:rPr>
          <w:rFonts w:ascii="GHEA Grapalat" w:eastAsia="Times New Roman" w:hAnsi="GHEA Grapalat"/>
          <w:sz w:val="24"/>
          <w:szCs w:val="24"/>
          <w:lang w:val="hy-AM"/>
        </w:rPr>
        <w:t>60 ամիս  հետո, հակամարմինների տիտրերը (GMTs) բարձր է</w:t>
      </w:r>
      <w:r w:rsidR="00CC277C" w:rsidRPr="00286852">
        <w:rPr>
          <w:rFonts w:ascii="GHEA Grapalat" w:eastAsia="Times New Roman" w:hAnsi="GHEA Grapalat"/>
          <w:sz w:val="24"/>
          <w:szCs w:val="24"/>
          <w:lang w:val="hy-AM"/>
        </w:rPr>
        <w:t>ր երկվալենտ պատվաստանյութ ստացած բոլոր տարիքային խմբերում (18-45 տարեկան)</w:t>
      </w:r>
      <w:r w:rsidRPr="00286852">
        <w:rPr>
          <w:rFonts w:ascii="GHEA Grapalat" w:eastAsia="Times New Roman" w:hAnsi="GHEA Grapalat"/>
          <w:sz w:val="24"/>
          <w:szCs w:val="24"/>
          <w:lang w:val="hy-AM"/>
        </w:rPr>
        <w:t>`</w:t>
      </w:r>
      <w:r w:rsidR="00B32ABD"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2.3-7.8 անգամ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-16</w:t>
      </w:r>
      <w:r w:rsidR="00CC277C" w:rsidRPr="00286852">
        <w:rPr>
          <w:rFonts w:ascii="GHEA Grapalat" w:eastAsia="Times New Roman" w:hAnsi="GHEA Grapalat"/>
          <w:sz w:val="24"/>
          <w:szCs w:val="24"/>
          <w:lang w:val="hy-AM"/>
        </w:rPr>
        <w:t>-ի առումով</w:t>
      </w:r>
      <w:r w:rsidRPr="00286852">
        <w:rPr>
          <w:rFonts w:ascii="GHEA Grapalat" w:eastAsia="Times New Roman" w:hAnsi="GHEA Grapalat"/>
          <w:sz w:val="24"/>
          <w:szCs w:val="24"/>
          <w:lang w:val="hy-AM"/>
        </w:rPr>
        <w:t xml:space="preserve"> և 7.8-12.1 անգամ</w:t>
      </w:r>
      <w:r w:rsidR="00CC277C"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-18 </w:t>
      </w:r>
      <w:r w:rsidR="00CC277C" w:rsidRPr="00286852">
        <w:rPr>
          <w:rFonts w:ascii="GHEA Grapalat" w:eastAsia="Times New Roman" w:hAnsi="GHEA Grapalat"/>
          <w:sz w:val="24"/>
          <w:szCs w:val="24"/>
          <w:lang w:val="hy-AM"/>
        </w:rPr>
        <w:t>առումով</w:t>
      </w:r>
      <w:r w:rsidRPr="00286852">
        <w:rPr>
          <w:rFonts w:ascii="GHEA Grapalat" w:eastAsia="Times New Roman" w:hAnsi="GHEA Grapalat"/>
          <w:sz w:val="24"/>
          <w:szCs w:val="24"/>
          <w:lang w:val="hy-AM"/>
        </w:rPr>
        <w:t>։.</w:t>
      </w:r>
      <w:r w:rsidRPr="00286852">
        <w:rPr>
          <w:rFonts w:ascii="GHEA Grapalat" w:eastAsia="Times New Roman" w:hAnsi="GHEA Grapalat"/>
          <w:sz w:val="18"/>
          <w:szCs w:val="18"/>
          <w:lang w:val="hy-AM"/>
        </w:rPr>
        <w:t>58</w:t>
      </w:r>
      <w:r w:rsidRPr="00286852">
        <w:rPr>
          <w:rFonts w:ascii="GHEA Grapalat" w:eastAsia="Times New Roman" w:hAnsi="GHEA Grapalat"/>
          <w:sz w:val="24"/>
          <w:szCs w:val="24"/>
          <w:lang w:val="hy-AM"/>
        </w:rPr>
        <w:t xml:space="preserve"> Սակայն, այդ հետազոտությունների կլինիկական նշանակությունը անհա</w:t>
      </w:r>
      <w:r w:rsidR="00CC277C" w:rsidRPr="00286852">
        <w:rPr>
          <w:rFonts w:ascii="GHEA Grapalat" w:eastAsia="Times New Roman" w:hAnsi="GHEA Grapalat"/>
          <w:sz w:val="24"/>
          <w:szCs w:val="24"/>
          <w:lang w:val="hy-AM"/>
        </w:rPr>
        <w:t>յտ</w:t>
      </w:r>
      <w:r w:rsidRPr="00286852">
        <w:rPr>
          <w:rFonts w:ascii="GHEA Grapalat" w:eastAsia="Times New Roman" w:hAnsi="GHEA Grapalat"/>
          <w:sz w:val="24"/>
          <w:szCs w:val="24"/>
          <w:lang w:val="hy-AM"/>
        </w:rPr>
        <w:t xml:space="preserve"> է, քանի որ չի </w:t>
      </w:r>
      <w:r w:rsidR="00CC277C" w:rsidRPr="00286852">
        <w:rPr>
          <w:rFonts w:ascii="GHEA Grapalat" w:eastAsia="Times New Roman" w:hAnsi="GHEA Grapalat"/>
          <w:sz w:val="24"/>
          <w:szCs w:val="24"/>
          <w:lang w:val="hy-AM"/>
        </w:rPr>
        <w:t>որոշվել</w:t>
      </w:r>
      <w:r w:rsidRPr="00286852">
        <w:rPr>
          <w:rFonts w:ascii="GHEA Grapalat" w:eastAsia="Times New Roman" w:hAnsi="GHEA Grapalat"/>
          <w:sz w:val="24"/>
          <w:szCs w:val="24"/>
          <w:lang w:val="hy-AM"/>
        </w:rPr>
        <w:t xml:space="preserve"> պաշտպանվածության </w:t>
      </w:r>
      <w:r w:rsidR="00CC277C" w:rsidRPr="00286852">
        <w:rPr>
          <w:rFonts w:ascii="GHEA Grapalat" w:eastAsia="Times New Roman" w:hAnsi="GHEA Grapalat"/>
          <w:sz w:val="24"/>
          <w:szCs w:val="24"/>
          <w:lang w:val="hy-AM"/>
        </w:rPr>
        <w:t>կորելացիան</w:t>
      </w:r>
      <w:r w:rsidRPr="00286852">
        <w:rPr>
          <w:rFonts w:ascii="GHEA Grapalat" w:eastAsia="Times New Roman" w:hAnsi="GHEA Grapalat"/>
          <w:sz w:val="24"/>
          <w:szCs w:val="24"/>
          <w:lang w:val="hy-AM"/>
        </w:rPr>
        <w:t>։</w:t>
      </w:r>
    </w:p>
    <w:p w:rsidR="00A47CB6" w:rsidRPr="00286852" w:rsidRDefault="00A47CB6" w:rsidP="00A47CB6">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Երկու ռանդ</w:t>
      </w:r>
      <w:r w:rsidR="003407E4" w:rsidRPr="00286852">
        <w:rPr>
          <w:rFonts w:ascii="GHEA Grapalat" w:eastAsia="Times New Roman" w:hAnsi="GHEA Grapalat"/>
          <w:sz w:val="24"/>
          <w:szCs w:val="24"/>
          <w:lang w:val="hy-AM"/>
        </w:rPr>
        <w:t>ոմ</w:t>
      </w:r>
      <w:r w:rsidRPr="00286852">
        <w:rPr>
          <w:rFonts w:ascii="GHEA Grapalat" w:eastAsia="Times New Roman" w:hAnsi="GHEA Grapalat"/>
          <w:sz w:val="24"/>
          <w:szCs w:val="24"/>
          <w:lang w:val="hy-AM"/>
        </w:rPr>
        <w:t>իզ</w:t>
      </w:r>
      <w:r w:rsidR="003407E4" w:rsidRPr="00286852">
        <w:rPr>
          <w:rFonts w:ascii="GHEA Grapalat" w:eastAsia="Times New Roman" w:hAnsi="GHEA Grapalat"/>
          <w:sz w:val="24"/>
          <w:szCs w:val="24"/>
          <w:lang w:val="hy-AM"/>
        </w:rPr>
        <w:t>ա</w:t>
      </w:r>
      <w:r w:rsidRPr="00286852">
        <w:rPr>
          <w:rFonts w:ascii="GHEA Grapalat" w:eastAsia="Times New Roman" w:hAnsi="GHEA Grapalat"/>
          <w:sz w:val="24"/>
          <w:szCs w:val="24"/>
          <w:lang w:val="hy-AM"/>
        </w:rPr>
        <w:t xml:space="preserve">ցված </w:t>
      </w:r>
      <w:r w:rsidR="003407E4" w:rsidRPr="00286852">
        <w:rPr>
          <w:rFonts w:ascii="GHEA Grapalat" w:eastAsia="Times New Roman" w:hAnsi="GHEA Grapalat"/>
          <w:sz w:val="24"/>
          <w:szCs w:val="24"/>
          <w:lang w:val="hy-AM"/>
        </w:rPr>
        <w:t xml:space="preserve">հետազոտություններում </w:t>
      </w:r>
      <w:r w:rsidRPr="00286852">
        <w:rPr>
          <w:rFonts w:ascii="GHEA Grapalat" w:eastAsia="Times New Roman" w:hAnsi="GHEA Grapalat"/>
          <w:sz w:val="24"/>
          <w:szCs w:val="24"/>
          <w:lang w:val="hy-AM"/>
        </w:rPr>
        <w:t xml:space="preserve">համեմատվել են </w:t>
      </w:r>
      <w:r w:rsidR="003407E4" w:rsidRPr="00286852">
        <w:rPr>
          <w:rFonts w:ascii="GHEA Grapalat" w:eastAsia="Times New Roman" w:hAnsi="GHEA Grapalat"/>
          <w:sz w:val="24"/>
          <w:szCs w:val="24"/>
          <w:lang w:val="hy-AM"/>
        </w:rPr>
        <w:t xml:space="preserve">հսկողական խմբի և </w:t>
      </w:r>
      <w:r w:rsidRPr="00286852">
        <w:rPr>
          <w:rFonts w:ascii="GHEA Grapalat" w:eastAsia="Times New Roman" w:hAnsi="GHEA Grapalat"/>
          <w:sz w:val="24"/>
          <w:szCs w:val="24"/>
          <w:lang w:val="hy-AM"/>
        </w:rPr>
        <w:t>3 դեղաչափ երկվալենտ և 3 դեղա</w:t>
      </w:r>
      <w:r w:rsidR="003407E4" w:rsidRPr="00286852">
        <w:rPr>
          <w:rFonts w:ascii="GHEA Grapalat" w:eastAsia="Times New Roman" w:hAnsi="GHEA Grapalat"/>
          <w:sz w:val="24"/>
          <w:szCs w:val="24"/>
          <w:lang w:val="hy-AM"/>
        </w:rPr>
        <w:t>չափ քառավալենտ  պատվաստանյութեր ստացած 16-26 տարեկան կանանց</w:t>
      </w:r>
      <w:r w:rsidRPr="00286852">
        <w:rPr>
          <w:rFonts w:ascii="GHEA Grapalat" w:eastAsia="Times New Roman" w:hAnsi="GHEA Grapalat"/>
          <w:sz w:val="24"/>
          <w:szCs w:val="24"/>
          <w:lang w:val="hy-AM"/>
        </w:rPr>
        <w:t xml:space="preserve"> և 9-15 տարեկան աղջիկների </w:t>
      </w:r>
      <w:r w:rsidR="003407E4" w:rsidRPr="00286852">
        <w:rPr>
          <w:rFonts w:ascii="GHEA Grapalat" w:eastAsia="Times New Roman" w:hAnsi="GHEA Grapalat"/>
          <w:sz w:val="24"/>
          <w:szCs w:val="24"/>
          <w:lang w:val="hy-AM"/>
        </w:rPr>
        <w:t>հետ:</w:t>
      </w:r>
      <w:r w:rsidRPr="00286852">
        <w:rPr>
          <w:rFonts w:ascii="GHEA Grapalat" w:eastAsia="Times New Roman" w:hAnsi="GHEA Grapalat"/>
          <w:sz w:val="18"/>
          <w:szCs w:val="18"/>
          <w:lang w:val="hy-AM"/>
        </w:rPr>
        <w:t>60</w:t>
      </w:r>
      <w:r w:rsidRPr="00286852">
        <w:rPr>
          <w:rFonts w:ascii="GHEA Grapalat" w:eastAsia="Times New Roman" w:hAnsi="GHEA Grapalat"/>
          <w:sz w:val="24"/>
          <w:szCs w:val="24"/>
          <w:lang w:val="hy-AM"/>
        </w:rPr>
        <w:t xml:space="preserve"> 9-15 տարեկան աղջիկների մոտ </w:t>
      </w:r>
      <w:r w:rsidR="006D70CC" w:rsidRPr="00286852">
        <w:rPr>
          <w:rFonts w:ascii="GHEA Grapalat" w:eastAsia="Times New Roman" w:hAnsi="GHEA Grapalat"/>
          <w:sz w:val="24"/>
          <w:szCs w:val="24"/>
          <w:lang w:val="hy-AM"/>
        </w:rPr>
        <w:t xml:space="preserve">7 ամսվա ընթացքում չի հայտնաբերվել </w:t>
      </w:r>
      <w:r w:rsidRPr="00286852">
        <w:rPr>
          <w:rFonts w:ascii="GHEA Grapalat" w:eastAsia="Times New Roman" w:hAnsi="GHEA Grapalat"/>
          <w:sz w:val="24"/>
          <w:szCs w:val="24"/>
          <w:lang w:val="hy-AM"/>
        </w:rPr>
        <w:t xml:space="preserve">զգալի տարբերություն երկու պատվաստանյութերում ներառված ՄՊՎ տեսակների </w:t>
      </w:r>
      <w:r w:rsidR="006D70CC" w:rsidRPr="00286852">
        <w:rPr>
          <w:rFonts w:ascii="GHEA Grapalat" w:eastAsia="Times New Roman" w:hAnsi="GHEA Grapalat"/>
          <w:sz w:val="24"/>
          <w:szCs w:val="24"/>
          <w:lang w:val="hy-AM"/>
        </w:rPr>
        <w:t>հակամարմինների մակարդակներ</w:t>
      </w:r>
      <w:r w:rsidR="002518D1" w:rsidRPr="00286852">
        <w:rPr>
          <w:rFonts w:ascii="GHEA Grapalat" w:eastAsia="Times New Roman" w:hAnsi="GHEA Grapalat"/>
          <w:sz w:val="24"/>
          <w:szCs w:val="24"/>
          <w:lang w:val="hy-AM"/>
        </w:rPr>
        <w:t xml:space="preserve">ում </w:t>
      </w:r>
      <w:r w:rsidRPr="00286852">
        <w:rPr>
          <w:rFonts w:ascii="GHEA Grapalat" w:eastAsia="Times New Roman" w:hAnsi="GHEA Grapalat"/>
          <w:sz w:val="24"/>
          <w:szCs w:val="24"/>
          <w:lang w:val="hy-AM"/>
        </w:rPr>
        <w:t xml:space="preserve">(տեսակներ 6, 11, 16 </w:t>
      </w:r>
      <w:r w:rsidR="00B32ABD" w:rsidRPr="00286852">
        <w:rPr>
          <w:rFonts w:ascii="GHEA Grapalat" w:eastAsia="Times New Roman" w:hAnsi="GHEA Grapalat"/>
          <w:sz w:val="24"/>
          <w:szCs w:val="24"/>
          <w:lang w:val="hy-AM"/>
        </w:rPr>
        <w:t>և</w:t>
      </w:r>
      <w:r w:rsidRPr="00286852">
        <w:rPr>
          <w:rFonts w:ascii="GHEA Grapalat" w:eastAsia="Times New Roman" w:hAnsi="GHEA Grapalat"/>
          <w:sz w:val="24"/>
          <w:szCs w:val="24"/>
          <w:lang w:val="hy-AM"/>
        </w:rPr>
        <w:t xml:space="preserve"> 18): </w:t>
      </w:r>
      <w:r w:rsidR="002518D1" w:rsidRPr="00286852">
        <w:rPr>
          <w:rFonts w:ascii="GHEA Grapalat" w:eastAsia="Times New Roman" w:hAnsi="GHEA Grapalat"/>
          <w:sz w:val="24"/>
          <w:szCs w:val="24"/>
          <w:lang w:val="hy-AM"/>
        </w:rPr>
        <w:t>Ինն</w:t>
      </w:r>
      <w:r w:rsidRPr="00286852">
        <w:rPr>
          <w:rFonts w:ascii="GHEA Grapalat" w:eastAsia="Times New Roman" w:hAnsi="GHEA Grapalat"/>
          <w:sz w:val="24"/>
          <w:szCs w:val="24"/>
          <w:lang w:val="hy-AM"/>
        </w:rPr>
        <w:t>ա</w:t>
      </w:r>
      <w:r w:rsidR="002518D1" w:rsidRPr="00286852">
        <w:rPr>
          <w:rFonts w:ascii="GHEA Grapalat" w:eastAsia="Times New Roman" w:hAnsi="GHEA Grapalat"/>
          <w:sz w:val="24"/>
          <w:szCs w:val="24"/>
          <w:lang w:val="hy-AM"/>
        </w:rPr>
        <w:t>վա</w:t>
      </w:r>
      <w:r w:rsidRPr="00286852">
        <w:rPr>
          <w:rFonts w:ascii="GHEA Grapalat" w:eastAsia="Times New Roman" w:hAnsi="GHEA Grapalat"/>
          <w:sz w:val="24"/>
          <w:szCs w:val="24"/>
          <w:lang w:val="hy-AM"/>
        </w:rPr>
        <w:t xml:space="preserve">լենտ պատվաստանյութը </w:t>
      </w:r>
      <w:r w:rsidR="002518D1" w:rsidRPr="00286852">
        <w:rPr>
          <w:rFonts w:ascii="GHEA Grapalat" w:eastAsia="Times New Roman" w:hAnsi="GHEA Grapalat"/>
          <w:sz w:val="24"/>
          <w:szCs w:val="24"/>
          <w:lang w:val="hy-AM"/>
        </w:rPr>
        <w:t>առաջա</w:t>
      </w:r>
      <w:r w:rsidRPr="00286852">
        <w:rPr>
          <w:rFonts w:ascii="GHEA Grapalat" w:eastAsia="Times New Roman" w:hAnsi="GHEA Grapalat"/>
          <w:sz w:val="24"/>
          <w:szCs w:val="24"/>
          <w:lang w:val="hy-AM"/>
        </w:rPr>
        <w:t>ցրե</w:t>
      </w:r>
      <w:r w:rsidR="002518D1" w:rsidRPr="00286852">
        <w:rPr>
          <w:rFonts w:ascii="GHEA Grapalat" w:eastAsia="Times New Roman" w:hAnsi="GHEA Grapalat"/>
          <w:sz w:val="24"/>
          <w:szCs w:val="24"/>
          <w:lang w:val="hy-AM"/>
        </w:rPr>
        <w:t>լ</w:t>
      </w:r>
      <w:r w:rsidRPr="00286852">
        <w:rPr>
          <w:rFonts w:ascii="GHEA Grapalat" w:eastAsia="Times New Roman" w:hAnsi="GHEA Grapalat"/>
          <w:sz w:val="24"/>
          <w:szCs w:val="24"/>
          <w:lang w:val="hy-AM"/>
        </w:rPr>
        <w:t xml:space="preserve"> է</w:t>
      </w:r>
      <w:r w:rsidR="002518D1"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ավելի բարձր </w:t>
      </w:r>
      <w:r w:rsidR="002518D1" w:rsidRPr="00286852">
        <w:rPr>
          <w:rFonts w:ascii="GHEA Grapalat" w:eastAsia="Times New Roman" w:hAnsi="GHEA Grapalat"/>
          <w:sz w:val="24"/>
          <w:szCs w:val="24"/>
          <w:lang w:val="hy-AM"/>
        </w:rPr>
        <w:t>հակամարմինների մակարդակ</w:t>
      </w:r>
      <w:r w:rsidRPr="00286852">
        <w:rPr>
          <w:rFonts w:ascii="GHEA Grapalat" w:eastAsia="Times New Roman" w:hAnsi="GHEA Grapalat"/>
          <w:sz w:val="24"/>
          <w:szCs w:val="24"/>
          <w:lang w:val="hy-AM"/>
        </w:rPr>
        <w:t xml:space="preserve"> այն տիպերի համար,</w:t>
      </w:r>
      <w:r w:rsidR="002518D1"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որոնք ընդգրկված չեն քառվալենտ պատվաստանյութում (տեսակներն են 31, 33, 45, 52 և 58)։ 7 ամսվա ընթացքում երկու պատվաստանյութերի խմբերում </w:t>
      </w:r>
      <w:r w:rsidR="002518D1" w:rsidRPr="00286852">
        <w:rPr>
          <w:rFonts w:ascii="GHEA Grapalat" w:eastAsia="Times New Roman" w:hAnsi="GHEA Grapalat"/>
          <w:sz w:val="24"/>
          <w:szCs w:val="24"/>
          <w:lang w:val="hy-AM"/>
        </w:rPr>
        <w:t>սերոկոնվերսիայի</w:t>
      </w:r>
      <w:r w:rsidRPr="00286852">
        <w:rPr>
          <w:rFonts w:ascii="GHEA Grapalat" w:eastAsia="Times New Roman" w:hAnsi="GHEA Grapalat"/>
          <w:sz w:val="24"/>
          <w:szCs w:val="24"/>
          <w:lang w:val="hy-AM"/>
        </w:rPr>
        <w:t xml:space="preserve"> աստիճանը 100% է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  6, 11, 16 և 18 տիպերի նկատմամբ։ 16-26 տարեկան կանանց մոտ,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-6- ի և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-16- ի համար </w:t>
      </w:r>
      <w:r w:rsidR="002518D1" w:rsidRPr="00286852">
        <w:rPr>
          <w:rFonts w:ascii="GHEA Grapalat" w:eastAsia="Times New Roman" w:hAnsi="GHEA Grapalat"/>
          <w:sz w:val="24"/>
          <w:szCs w:val="24"/>
          <w:lang w:val="hy-AM"/>
        </w:rPr>
        <w:t>տիտրերի</w:t>
      </w:r>
      <w:r w:rsidRPr="00286852">
        <w:rPr>
          <w:rFonts w:ascii="GHEA Grapalat" w:eastAsia="Times New Roman" w:hAnsi="GHEA Grapalat"/>
          <w:sz w:val="24"/>
          <w:szCs w:val="24"/>
          <w:lang w:val="hy-AM"/>
        </w:rPr>
        <w:t xml:space="preserve"> ոչ </w:t>
      </w:r>
      <w:r w:rsidRPr="00286852">
        <w:rPr>
          <w:rFonts w:ascii="GHEA Grapalat" w:eastAsia="Times New Roman" w:hAnsi="GHEA Grapalat"/>
          <w:sz w:val="24"/>
          <w:szCs w:val="24"/>
          <w:lang w:val="hy-AM"/>
        </w:rPr>
        <w:lastRenderedPageBreak/>
        <w:t>մի զգալի տարբերություն և չի նկատվել 7 ամսվա և 24 ամսվա ընթացքում</w:t>
      </w:r>
      <w:r w:rsidR="002518D1"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երկվալենտ և քառավալենտ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 պատվաստանյութերի միջև: Քառավալենտ պատվաստանյութը </w:t>
      </w:r>
      <w:r w:rsidR="002E5BB9" w:rsidRPr="00286852">
        <w:rPr>
          <w:rFonts w:ascii="GHEA Grapalat" w:eastAsia="Times New Roman" w:hAnsi="GHEA Grapalat"/>
          <w:sz w:val="24"/>
          <w:szCs w:val="24"/>
          <w:lang w:val="hy-AM"/>
        </w:rPr>
        <w:t>առաջա</w:t>
      </w:r>
      <w:r w:rsidRPr="00286852">
        <w:rPr>
          <w:rFonts w:ascii="GHEA Grapalat" w:eastAsia="Times New Roman" w:hAnsi="GHEA Grapalat"/>
          <w:sz w:val="24"/>
          <w:szCs w:val="24"/>
          <w:lang w:val="hy-AM"/>
        </w:rPr>
        <w:t xml:space="preserve">ցրել է </w:t>
      </w:r>
      <w:r w:rsidR="002E5BB9" w:rsidRPr="00286852">
        <w:rPr>
          <w:rFonts w:ascii="GHEA Grapalat" w:eastAsia="Times New Roman" w:hAnsi="GHEA Grapalat"/>
          <w:sz w:val="24"/>
          <w:szCs w:val="24"/>
          <w:lang w:val="hy-AM"/>
        </w:rPr>
        <w:t>հակամարմինների</w:t>
      </w:r>
      <w:r w:rsidRPr="00286852">
        <w:rPr>
          <w:rFonts w:ascii="GHEA Grapalat" w:eastAsia="Times New Roman" w:hAnsi="GHEA Grapalat"/>
          <w:sz w:val="24"/>
          <w:szCs w:val="24"/>
          <w:lang w:val="hy-AM"/>
        </w:rPr>
        <w:t xml:space="preserve"> ավելի բարձր </w:t>
      </w:r>
      <w:r w:rsidR="002E5BB9" w:rsidRPr="00286852">
        <w:rPr>
          <w:rFonts w:ascii="GHEA Grapalat" w:eastAsia="Times New Roman" w:hAnsi="GHEA Grapalat"/>
          <w:sz w:val="24"/>
          <w:szCs w:val="24"/>
          <w:lang w:val="hy-AM"/>
        </w:rPr>
        <w:t xml:space="preserve">մակարդակ </w:t>
      </w:r>
      <w:r w:rsidR="00B32ABD" w:rsidRPr="00286852">
        <w:rPr>
          <w:rFonts w:ascii="Sylfaen" w:eastAsia="Times New Roman" w:hAnsi="Sylfaen"/>
          <w:sz w:val="24"/>
          <w:szCs w:val="24"/>
          <w:lang w:val="hy-AM"/>
        </w:rPr>
        <w:t>ՄՊՎ</w:t>
      </w:r>
      <w:r w:rsidRPr="00286852">
        <w:rPr>
          <w:rFonts w:ascii="GHEA Grapalat" w:eastAsia="Times New Roman" w:hAnsi="GHEA Grapalat"/>
          <w:sz w:val="24"/>
          <w:szCs w:val="24"/>
          <w:lang w:val="hy-AM"/>
        </w:rPr>
        <w:t xml:space="preserve">-11-ի համար, սակայն ցուցանիշները երկվալենտ պատվաստանյութի դեպքում </w:t>
      </w:r>
      <w:r w:rsidR="002E5BB9" w:rsidRPr="00286852">
        <w:rPr>
          <w:rFonts w:ascii="GHEA Grapalat" w:eastAsia="Times New Roman" w:hAnsi="GHEA Grapalat"/>
          <w:sz w:val="24"/>
          <w:szCs w:val="24"/>
          <w:lang w:val="hy-AM"/>
        </w:rPr>
        <w:t xml:space="preserve">նույնպես ցածր </w:t>
      </w:r>
      <w:r w:rsidRPr="00286852">
        <w:rPr>
          <w:rFonts w:ascii="GHEA Grapalat" w:eastAsia="Times New Roman" w:hAnsi="GHEA Grapalat"/>
          <w:sz w:val="24"/>
          <w:szCs w:val="24"/>
          <w:lang w:val="hy-AM"/>
        </w:rPr>
        <w:t>չէին, այն դեպքում,</w:t>
      </w:r>
      <w:r w:rsidR="00B32ABD"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երբ </w:t>
      </w:r>
      <w:r w:rsidR="00B32ABD"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ստացած պատվաստանյութի դեպքում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-18-ի համար ավելի բարձր էր։ </w:t>
      </w:r>
      <w:r w:rsidR="00B32ABD"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պատվաստանյութը նպաստում էր ավելի բարձր GMTs- ի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-ի 31, 33, 45, 52 և 58 տեսակների համար,</w:t>
      </w:r>
      <w:r w:rsidR="00B32ABD"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քան քառավալենտը 7 և 24-ամսվա ընթացքում։ Պատվաստանյութերի  միջև շճակոնվերսիայի ցուցանիշները  չէին տարբերվում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-ի 6, 11, 16 և 18 համար</w:t>
      </w:r>
      <w:r w:rsidR="006A3D15"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w:t>
      </w:r>
      <w:r w:rsidR="006A3D15" w:rsidRPr="00286852">
        <w:rPr>
          <w:rFonts w:ascii="GHEA Grapalat" w:eastAsia="Times New Roman" w:hAnsi="GHEA Grapalat"/>
          <w:sz w:val="24"/>
          <w:szCs w:val="24"/>
          <w:lang w:val="hy-AM"/>
        </w:rPr>
        <w:t xml:space="preserve">պատվաստումից </w:t>
      </w:r>
      <w:r w:rsidRPr="00286852">
        <w:rPr>
          <w:rFonts w:ascii="GHEA Grapalat" w:eastAsia="Times New Roman" w:hAnsi="GHEA Grapalat"/>
          <w:sz w:val="24"/>
          <w:szCs w:val="24"/>
          <w:lang w:val="hy-AM"/>
        </w:rPr>
        <w:t xml:space="preserve">7 և 24 </w:t>
      </w:r>
      <w:r w:rsidR="006A3D15" w:rsidRPr="00286852">
        <w:rPr>
          <w:rFonts w:ascii="GHEA Grapalat" w:eastAsia="Times New Roman" w:hAnsi="GHEA Grapalat"/>
          <w:sz w:val="24"/>
          <w:szCs w:val="24"/>
          <w:lang w:val="hy-AM"/>
        </w:rPr>
        <w:t>ամիս հետո</w:t>
      </w:r>
      <w:r w:rsidRPr="00286852">
        <w:rPr>
          <w:rFonts w:ascii="GHEA Grapalat" w:eastAsia="Times New Roman" w:hAnsi="GHEA Grapalat"/>
          <w:sz w:val="24"/>
          <w:szCs w:val="24"/>
          <w:lang w:val="hy-AM"/>
        </w:rPr>
        <w:t xml:space="preserve">, բացառությամբ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-18</w:t>
      </w:r>
      <w:r w:rsidR="006A3D15" w:rsidRPr="00286852">
        <w:rPr>
          <w:rFonts w:ascii="GHEA Grapalat" w:eastAsia="Times New Roman" w:hAnsi="GHEA Grapalat"/>
          <w:sz w:val="24"/>
          <w:szCs w:val="24"/>
          <w:lang w:val="hy-AM"/>
        </w:rPr>
        <w:t>-ի՝</w:t>
      </w:r>
      <w:r w:rsidRPr="00286852">
        <w:rPr>
          <w:rFonts w:ascii="GHEA Grapalat" w:eastAsia="Times New Roman" w:hAnsi="GHEA Grapalat"/>
          <w:sz w:val="24"/>
          <w:szCs w:val="24"/>
          <w:lang w:val="hy-AM"/>
        </w:rPr>
        <w:t xml:space="preserve"> 24 ամիս հետո, որն </w:t>
      </w:r>
      <w:r w:rsidR="006A3D15" w:rsidRPr="00286852">
        <w:rPr>
          <w:rFonts w:ascii="GHEA Grapalat" w:eastAsia="Times New Roman" w:hAnsi="GHEA Grapalat"/>
          <w:sz w:val="24"/>
          <w:szCs w:val="24"/>
          <w:lang w:val="hy-AM"/>
        </w:rPr>
        <w:t>ավելի բարձր է</w:t>
      </w:r>
      <w:r w:rsidRPr="00286852">
        <w:rPr>
          <w:rFonts w:ascii="GHEA Grapalat" w:eastAsia="Times New Roman" w:hAnsi="GHEA Grapalat"/>
          <w:sz w:val="24"/>
          <w:szCs w:val="24"/>
          <w:lang w:val="hy-AM"/>
        </w:rPr>
        <w:t xml:space="preserve"> </w:t>
      </w:r>
      <w:r w:rsidR="00B32ABD"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պատվաստանյութի</w:t>
      </w:r>
      <w:r w:rsidR="006A3D15" w:rsidRPr="00286852">
        <w:rPr>
          <w:rFonts w:ascii="GHEA Grapalat" w:eastAsia="Times New Roman" w:hAnsi="GHEA Grapalat"/>
          <w:sz w:val="24"/>
          <w:szCs w:val="24"/>
          <w:lang w:val="hy-AM"/>
        </w:rPr>
        <w:t xml:space="preserve"> դեպքում</w:t>
      </w:r>
      <w:r w:rsidRPr="00286852">
        <w:rPr>
          <w:rFonts w:ascii="GHEA Grapalat" w:eastAsia="Times New Roman" w:hAnsi="GHEA Grapalat"/>
          <w:sz w:val="24"/>
          <w:szCs w:val="24"/>
          <w:lang w:val="hy-AM"/>
        </w:rPr>
        <w:t xml:space="preserve">: </w:t>
      </w:r>
      <w:r w:rsidR="00B32ABD" w:rsidRPr="00286852">
        <w:rPr>
          <w:rFonts w:ascii="GHEA Grapalat" w:eastAsia="Times New Roman" w:hAnsi="GHEA Grapalat"/>
          <w:sz w:val="24"/>
          <w:szCs w:val="24"/>
          <w:lang w:val="hy-AM"/>
        </w:rPr>
        <w:t>Իննավալենտ</w:t>
      </w:r>
      <w:r w:rsidR="00026F92" w:rsidRPr="00286852">
        <w:rPr>
          <w:rFonts w:ascii="GHEA Grapalat" w:eastAsia="Times New Roman" w:hAnsi="GHEA Grapalat"/>
          <w:sz w:val="24"/>
          <w:szCs w:val="24"/>
          <w:lang w:val="hy-AM"/>
        </w:rPr>
        <w:t xml:space="preserve"> պատվաստանյութը նպաստում է</w:t>
      </w:r>
      <w:r w:rsidRPr="00286852">
        <w:rPr>
          <w:rFonts w:ascii="GHEA Grapalat" w:eastAsia="Times New Roman" w:hAnsi="GHEA Grapalat"/>
          <w:sz w:val="24"/>
          <w:szCs w:val="24"/>
          <w:lang w:val="hy-AM"/>
        </w:rPr>
        <w:t xml:space="preserve"> ավելի բարձր </w:t>
      </w:r>
      <w:r w:rsidR="00026F92" w:rsidRPr="00286852">
        <w:rPr>
          <w:rFonts w:ascii="GHEA Grapalat" w:eastAsia="Times New Roman" w:hAnsi="GHEA Grapalat"/>
          <w:sz w:val="24"/>
          <w:szCs w:val="24"/>
          <w:lang w:val="hy-AM"/>
        </w:rPr>
        <w:t>սերոկոնվերսիայի</w:t>
      </w:r>
      <w:r w:rsidRPr="00286852">
        <w:rPr>
          <w:rFonts w:ascii="GHEA Grapalat" w:eastAsia="Times New Roman" w:hAnsi="GHEA Grapalat"/>
          <w:sz w:val="24"/>
          <w:szCs w:val="24"/>
          <w:lang w:val="hy-AM"/>
        </w:rPr>
        <w:t xml:space="preserve">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ի 31, 33, 45, 52 և 58 տիպերի նկատմամ</w:t>
      </w:r>
      <w:r w:rsidR="00026F92" w:rsidRPr="00286852">
        <w:rPr>
          <w:rFonts w:ascii="GHEA Grapalat" w:eastAsia="Times New Roman" w:hAnsi="GHEA Grapalat"/>
          <w:sz w:val="24"/>
          <w:szCs w:val="24"/>
          <w:lang w:val="hy-AM"/>
        </w:rPr>
        <w:t xml:space="preserve">՝բ 7 </w:t>
      </w:r>
      <w:r w:rsidRPr="00286852">
        <w:rPr>
          <w:rFonts w:ascii="GHEA Grapalat" w:eastAsia="Times New Roman" w:hAnsi="GHEA Grapalat"/>
          <w:sz w:val="24"/>
          <w:szCs w:val="24"/>
          <w:lang w:val="hy-AM"/>
        </w:rPr>
        <w:t>և 24</w:t>
      </w:r>
      <w:r w:rsidR="00026F92" w:rsidRPr="00286852">
        <w:rPr>
          <w:rFonts w:ascii="GHEA Grapalat" w:eastAsia="Times New Roman" w:hAnsi="GHEA Grapalat"/>
          <w:sz w:val="24"/>
          <w:szCs w:val="24"/>
          <w:lang w:val="hy-AM"/>
        </w:rPr>
        <w:t xml:space="preserve"> ամիս</w:t>
      </w:r>
      <w:r w:rsidRPr="00286852">
        <w:rPr>
          <w:rFonts w:ascii="GHEA Grapalat" w:eastAsia="Times New Roman" w:hAnsi="GHEA Grapalat"/>
          <w:sz w:val="24"/>
          <w:szCs w:val="24"/>
          <w:lang w:val="hy-AM"/>
        </w:rPr>
        <w:t xml:space="preserve">։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-ի 6, 11, 16 </w:t>
      </w:r>
      <w:r w:rsidR="00B32ABD" w:rsidRPr="00286852">
        <w:rPr>
          <w:rFonts w:ascii="GHEA Grapalat" w:eastAsia="Times New Roman" w:hAnsi="GHEA Grapalat"/>
          <w:sz w:val="24"/>
          <w:szCs w:val="24"/>
          <w:lang w:val="hy-AM"/>
        </w:rPr>
        <w:t>և</w:t>
      </w:r>
      <w:r w:rsidRPr="00286852">
        <w:rPr>
          <w:rFonts w:ascii="GHEA Grapalat" w:eastAsia="Times New Roman" w:hAnsi="GHEA Grapalat"/>
          <w:sz w:val="24"/>
          <w:szCs w:val="24"/>
          <w:lang w:val="hy-AM"/>
        </w:rPr>
        <w:t xml:space="preserve"> 18-ի տեսակների հետ կապված իմունոգենության առումով, </w:t>
      </w:r>
      <w:r w:rsidR="00B32ABD"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և քառավալենտ </w:t>
      </w:r>
      <w:r w:rsidR="00B32ABD" w:rsidRPr="00286852">
        <w:rPr>
          <w:rFonts w:ascii="GHEA Grapalat" w:eastAsia="Times New Roman" w:hAnsi="GHEA Grapalat"/>
          <w:sz w:val="24"/>
          <w:szCs w:val="24"/>
          <w:lang w:val="hy-AM"/>
        </w:rPr>
        <w:t>ՄՊՎ-ի դեմ</w:t>
      </w:r>
      <w:r w:rsidRPr="00286852">
        <w:rPr>
          <w:rFonts w:ascii="GHEA Grapalat" w:eastAsia="Times New Roman" w:hAnsi="GHEA Grapalat"/>
          <w:sz w:val="24"/>
          <w:szCs w:val="24"/>
          <w:lang w:val="hy-AM"/>
        </w:rPr>
        <w:t xml:space="preserve"> պատվաստանյութերի միջև զգալի տարբերություն չկար: Այնուամենայնիվ,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 ի 31, 33, 45, 52, և 58-ի տեսակների հետ կապված, կլինիկական արդյունքները,  </w:t>
      </w:r>
      <w:r w:rsidR="00B32ABD"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lastRenderedPageBreak/>
        <w:t>պատվաստանյութի դեպքում  6 և 12 ամիսների ընթացքում, տվել է</w:t>
      </w:r>
      <w:r w:rsidR="00B32ABD" w:rsidRPr="00286852">
        <w:rPr>
          <w:rFonts w:ascii="GHEA Grapalat" w:eastAsia="Times New Roman" w:hAnsi="GHEA Grapalat"/>
          <w:sz w:val="24"/>
          <w:szCs w:val="24"/>
          <w:lang w:val="hy-AM"/>
        </w:rPr>
        <w:t xml:space="preserve"> </w:t>
      </w:r>
      <w:r w:rsidR="0088177C" w:rsidRPr="00286852">
        <w:rPr>
          <w:rFonts w:ascii="GHEA Grapalat" w:eastAsia="Times New Roman" w:hAnsi="GHEA Grapalat"/>
          <w:sz w:val="24"/>
          <w:szCs w:val="24"/>
          <w:lang w:val="hy-AM"/>
        </w:rPr>
        <w:t>բարձր արդյունավետություն</w:t>
      </w:r>
      <w:r w:rsidRPr="00286852">
        <w:rPr>
          <w:rFonts w:ascii="GHEA Grapalat" w:eastAsia="Times New Roman" w:hAnsi="GHEA Grapalat"/>
          <w:sz w:val="24"/>
          <w:szCs w:val="24"/>
          <w:lang w:val="hy-AM"/>
        </w:rPr>
        <w:t xml:space="preserve"> CIN1, CIN2 </w:t>
      </w:r>
      <w:r w:rsidR="00B32ABD" w:rsidRPr="00286852">
        <w:rPr>
          <w:rFonts w:ascii="GHEA Grapalat" w:eastAsia="Times New Roman" w:hAnsi="GHEA Grapalat"/>
          <w:sz w:val="24"/>
          <w:szCs w:val="24"/>
          <w:lang w:val="hy-AM"/>
        </w:rPr>
        <w:t>և</w:t>
      </w:r>
      <w:r w:rsidRPr="00286852">
        <w:rPr>
          <w:rFonts w:ascii="GHEA Grapalat" w:eastAsia="Times New Roman" w:hAnsi="GHEA Grapalat"/>
          <w:sz w:val="24"/>
          <w:szCs w:val="24"/>
          <w:lang w:val="hy-AM"/>
        </w:rPr>
        <w:t xml:space="preserve"> CIN2+ </w:t>
      </w:r>
      <w:r w:rsidR="0088177C" w:rsidRPr="00286852">
        <w:rPr>
          <w:rFonts w:ascii="GHEA Grapalat" w:eastAsia="Times New Roman" w:hAnsi="GHEA Grapalat"/>
          <w:sz w:val="24"/>
          <w:szCs w:val="24"/>
          <w:lang w:val="hy-AM"/>
        </w:rPr>
        <w:t>առումով, քան</w:t>
      </w:r>
      <w:r w:rsidRPr="00286852">
        <w:rPr>
          <w:rFonts w:ascii="GHEA Grapalat" w:eastAsia="Times New Roman" w:hAnsi="GHEA Grapalat"/>
          <w:sz w:val="24"/>
          <w:szCs w:val="24"/>
          <w:lang w:val="hy-AM"/>
        </w:rPr>
        <w:t xml:space="preserve"> քառավալենտ պատվաստանյութը։</w:t>
      </w:r>
      <w:r w:rsidR="0088177C" w:rsidRPr="00286852">
        <w:rPr>
          <w:rFonts w:ascii="GHEA Grapalat" w:eastAsia="Times New Roman" w:hAnsi="GHEA Grapalat"/>
          <w:sz w:val="18"/>
          <w:szCs w:val="18"/>
          <w:lang w:val="hy-AM"/>
        </w:rPr>
        <w:t>59,</w:t>
      </w:r>
      <w:r w:rsidRPr="00286852">
        <w:rPr>
          <w:rFonts w:ascii="GHEA Grapalat" w:eastAsia="Times New Roman" w:hAnsi="GHEA Grapalat"/>
          <w:sz w:val="18"/>
          <w:szCs w:val="18"/>
          <w:lang w:val="hy-AM"/>
        </w:rPr>
        <w:t>61</w:t>
      </w:r>
    </w:p>
    <w:p w:rsidR="00A47CB6" w:rsidRPr="00286852" w:rsidRDefault="00A47CB6" w:rsidP="00A47CB6">
      <w:pPr>
        <w:spacing w:line="360" w:lineRule="auto"/>
        <w:jc w:val="both"/>
        <w:rPr>
          <w:rFonts w:ascii="GHEA Grapalat" w:eastAsia="Times New Roman" w:hAnsi="GHEA Grapalat"/>
          <w:i/>
          <w:sz w:val="24"/>
          <w:szCs w:val="24"/>
          <w:lang w:val="hy-AM"/>
        </w:rPr>
      </w:pPr>
      <w:r w:rsidRPr="00286852">
        <w:rPr>
          <w:rFonts w:ascii="GHEA Grapalat" w:eastAsia="Times New Roman" w:hAnsi="GHEA Grapalat"/>
          <w:sz w:val="24"/>
          <w:szCs w:val="24"/>
          <w:lang w:val="hy-AM"/>
        </w:rPr>
        <w:t xml:space="preserve"> </w:t>
      </w:r>
      <w:r w:rsidR="0088177C" w:rsidRPr="00286852">
        <w:rPr>
          <w:rFonts w:ascii="GHEA Grapalat" w:eastAsia="Times New Roman" w:hAnsi="GHEA Grapalat"/>
          <w:i/>
          <w:sz w:val="24"/>
          <w:szCs w:val="24"/>
          <w:lang w:val="hy-AM"/>
        </w:rPr>
        <w:t>Երկ</w:t>
      </w:r>
      <w:r w:rsidR="00B77D3F" w:rsidRPr="00286852">
        <w:rPr>
          <w:rFonts w:ascii="GHEA Grapalat" w:eastAsia="Times New Roman" w:hAnsi="GHEA Grapalat"/>
          <w:i/>
          <w:sz w:val="24"/>
          <w:szCs w:val="24"/>
          <w:lang w:val="hy-AM"/>
        </w:rPr>
        <w:t>նվագ</w:t>
      </w:r>
      <w:r w:rsidR="0088177C" w:rsidRPr="00286852">
        <w:rPr>
          <w:rFonts w:ascii="GHEA Grapalat" w:eastAsia="Times New Roman" w:hAnsi="GHEA Grapalat"/>
          <w:i/>
          <w:sz w:val="24"/>
          <w:szCs w:val="24"/>
          <w:lang w:val="hy-AM"/>
        </w:rPr>
        <w:t xml:space="preserve"> օրացույց</w:t>
      </w:r>
    </w:p>
    <w:p w:rsidR="00A47CB6" w:rsidRPr="00286852" w:rsidRDefault="00A47CB6" w:rsidP="00A47CB6">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Պարբերաբար իրականացվող հետազոտությունների  արդյունքները ցույց են տալիս, որ 9-14 տարեկան աղջիկների համար </w:t>
      </w:r>
      <w:r w:rsidR="00B32ABD"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-ի</w:t>
      </w:r>
      <w:r w:rsidR="00B32ABD" w:rsidRPr="00286852">
        <w:rPr>
          <w:rFonts w:ascii="GHEA Grapalat" w:eastAsia="Times New Roman" w:hAnsi="GHEA Grapalat"/>
          <w:sz w:val="24"/>
          <w:szCs w:val="24"/>
          <w:lang w:val="hy-AM"/>
        </w:rPr>
        <w:t xml:space="preserve">դեմ </w:t>
      </w:r>
      <w:r w:rsidR="00B77D3F" w:rsidRPr="00286852">
        <w:rPr>
          <w:rFonts w:ascii="GHEA Grapalat" w:eastAsia="Times New Roman" w:hAnsi="GHEA Grapalat"/>
          <w:sz w:val="24"/>
          <w:szCs w:val="24"/>
          <w:lang w:val="hy-AM"/>
        </w:rPr>
        <w:t xml:space="preserve">երկնվագ </w:t>
      </w:r>
      <w:r w:rsidRPr="00286852">
        <w:rPr>
          <w:rFonts w:ascii="GHEA Grapalat" w:eastAsia="Times New Roman" w:hAnsi="GHEA Grapalat"/>
          <w:sz w:val="24"/>
          <w:szCs w:val="24"/>
          <w:lang w:val="hy-AM"/>
        </w:rPr>
        <w:t>պատվաստու</w:t>
      </w:r>
      <w:r w:rsidR="00B77D3F" w:rsidRPr="00286852">
        <w:rPr>
          <w:rFonts w:ascii="GHEA Grapalat" w:eastAsia="Times New Roman" w:hAnsi="GHEA Grapalat"/>
          <w:sz w:val="24"/>
          <w:szCs w:val="24"/>
          <w:lang w:val="hy-AM"/>
        </w:rPr>
        <w:t>մներ</w:t>
      </w:r>
      <w:r w:rsidRPr="00286852">
        <w:rPr>
          <w:rFonts w:ascii="GHEA Grapalat" w:eastAsia="Times New Roman" w:hAnsi="GHEA Grapalat"/>
          <w:sz w:val="24"/>
          <w:szCs w:val="24"/>
          <w:lang w:val="hy-AM"/>
        </w:rPr>
        <w:t xml:space="preserve">ի իմունոգենությունը </w:t>
      </w:r>
      <w:r w:rsidR="00B77D3F" w:rsidRPr="00286852">
        <w:rPr>
          <w:rFonts w:ascii="GHEA Grapalat" w:eastAsia="Times New Roman" w:hAnsi="GHEA Grapalat"/>
          <w:sz w:val="24"/>
          <w:szCs w:val="24"/>
          <w:lang w:val="hy-AM"/>
        </w:rPr>
        <w:t xml:space="preserve">ավելի ցածր չէ, քան </w:t>
      </w:r>
      <w:r w:rsidRPr="00286852">
        <w:rPr>
          <w:rFonts w:ascii="GHEA Grapalat" w:eastAsia="Times New Roman" w:hAnsi="GHEA Grapalat"/>
          <w:sz w:val="24"/>
          <w:szCs w:val="24"/>
          <w:lang w:val="hy-AM"/>
        </w:rPr>
        <w:t xml:space="preserve">15-24 տարեկան </w:t>
      </w:r>
      <w:r w:rsidR="00B77D3F" w:rsidRPr="00286852">
        <w:rPr>
          <w:rFonts w:ascii="GHEA Grapalat" w:eastAsia="Times New Roman" w:hAnsi="GHEA Grapalat"/>
          <w:sz w:val="24"/>
          <w:szCs w:val="24"/>
          <w:lang w:val="hy-AM"/>
        </w:rPr>
        <w:t xml:space="preserve">3 դեղաչափ ստացած </w:t>
      </w:r>
      <w:r w:rsidRPr="00286852">
        <w:rPr>
          <w:rFonts w:ascii="GHEA Grapalat" w:eastAsia="Times New Roman" w:hAnsi="GHEA Grapalat"/>
          <w:sz w:val="24"/>
          <w:szCs w:val="24"/>
          <w:lang w:val="hy-AM"/>
        </w:rPr>
        <w:t>կանանց</w:t>
      </w:r>
      <w:r w:rsidR="00B77D3F" w:rsidRPr="00286852">
        <w:rPr>
          <w:rFonts w:ascii="GHEA Grapalat" w:eastAsia="Times New Roman" w:hAnsi="GHEA Grapalat"/>
          <w:sz w:val="24"/>
          <w:szCs w:val="24"/>
          <w:lang w:val="hy-AM"/>
        </w:rPr>
        <w:t xml:space="preserve"> մոտ</w:t>
      </w:r>
      <w:r w:rsidRPr="00286852">
        <w:rPr>
          <w:rFonts w:ascii="GHEA Grapalat" w:eastAsia="Times New Roman" w:hAnsi="GHEA Grapalat"/>
          <w:sz w:val="24"/>
          <w:szCs w:val="24"/>
          <w:lang w:val="hy-AM"/>
        </w:rPr>
        <w:t xml:space="preserve">։ </w:t>
      </w:r>
    </w:p>
    <w:p w:rsidR="00A47CB6" w:rsidRPr="00286852" w:rsidRDefault="00A47CB6" w:rsidP="00E260E5">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4</w:t>
      </w:r>
      <w:r w:rsidR="00E260E5"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ռանդոմիզացված</w:t>
      </w:r>
      <w:r w:rsidR="00E260E5"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հետազոտություններում</w:t>
      </w:r>
      <w:r w:rsidR="00E260E5"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(քառավալենտ,</w:t>
      </w:r>
      <w:r w:rsidR="00E260E5"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երկվալենտ և </w:t>
      </w:r>
      <w:r w:rsidR="00E260E5"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պատվաստանյութերի)</w:t>
      </w:r>
      <w:r w:rsidR="00E260E5" w:rsidRPr="00286852">
        <w:rPr>
          <w:rFonts w:ascii="GHEA Grapalat" w:eastAsia="Times New Roman" w:hAnsi="GHEA Grapalat"/>
          <w:sz w:val="24"/>
          <w:szCs w:val="24"/>
          <w:lang w:val="hy-AM"/>
        </w:rPr>
        <w:t xml:space="preserve"> </w:t>
      </w:r>
      <w:r w:rsidRPr="00286852">
        <w:rPr>
          <w:rFonts w:ascii="GHEA Grapalat" w:eastAsia="Times New Roman" w:hAnsi="GHEA Grapalat"/>
          <w:sz w:val="18"/>
          <w:szCs w:val="18"/>
          <w:lang w:val="hy-AM"/>
        </w:rPr>
        <w:t>65, 66, 67, 68</w:t>
      </w:r>
      <w:r w:rsidRPr="00286852">
        <w:rPr>
          <w:rFonts w:ascii="GHEA Grapalat" w:eastAsia="Times New Roman" w:hAnsi="GHEA Grapalat"/>
          <w:sz w:val="24"/>
          <w:szCs w:val="24"/>
          <w:lang w:val="hy-AM"/>
        </w:rPr>
        <w:t xml:space="preserve"> և 2 ոչ ռանդոմիզացված հետազոտությունների </w:t>
      </w:r>
      <w:r w:rsidRPr="00286852">
        <w:rPr>
          <w:rFonts w:ascii="GHEA Grapalat" w:eastAsia="Times New Roman" w:hAnsi="GHEA Grapalat"/>
          <w:sz w:val="18"/>
          <w:szCs w:val="18"/>
          <w:lang w:val="hy-AM"/>
        </w:rPr>
        <w:t>69, 70</w:t>
      </w:r>
      <w:r w:rsidRPr="00286852">
        <w:rPr>
          <w:rFonts w:ascii="GHEA Grapalat" w:eastAsia="Times New Roman" w:hAnsi="GHEA Grapalat"/>
          <w:sz w:val="24"/>
          <w:szCs w:val="24"/>
          <w:lang w:val="hy-AM"/>
        </w:rPr>
        <w:t xml:space="preserve">    (քառավալենտ և երկվալենտ</w:t>
      </w:r>
      <w:r w:rsidR="00DE7053"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պատվաստանյութերի, իմունոգենության արդյունքներն համեմատվել են 9-14 տարեկան աղջիկների 2</w:t>
      </w:r>
      <w:r w:rsidR="00DE7053"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դեղաչափ</w:t>
      </w:r>
      <w:r w:rsidR="00DE7053" w:rsidRPr="00286852">
        <w:rPr>
          <w:rFonts w:ascii="GHEA Grapalat" w:eastAsia="Times New Roman" w:hAnsi="GHEA Grapalat"/>
          <w:sz w:val="24"/>
          <w:szCs w:val="24"/>
          <w:lang w:val="hy-AM"/>
        </w:rPr>
        <w:t xml:space="preserve"> օրացույցի</w:t>
      </w:r>
      <w:r w:rsidRPr="00286852">
        <w:rPr>
          <w:rFonts w:ascii="GHEA Grapalat" w:eastAsia="Times New Roman" w:hAnsi="GHEA Grapalat"/>
          <w:sz w:val="24"/>
          <w:szCs w:val="24"/>
          <w:lang w:val="hy-AM"/>
        </w:rPr>
        <w:t xml:space="preserve"> </w:t>
      </w:r>
      <w:r w:rsidR="00DE7053" w:rsidRPr="00286852">
        <w:rPr>
          <w:rFonts w:ascii="GHEA Grapalat" w:eastAsia="Times New Roman" w:hAnsi="GHEA Grapalat"/>
          <w:sz w:val="24"/>
          <w:szCs w:val="24"/>
          <w:lang w:val="hy-AM"/>
        </w:rPr>
        <w:t xml:space="preserve">(0, </w:t>
      </w:r>
      <w:r w:rsidRPr="00286852">
        <w:rPr>
          <w:rFonts w:ascii="GHEA Grapalat" w:eastAsia="Times New Roman" w:hAnsi="GHEA Grapalat"/>
          <w:sz w:val="24"/>
          <w:szCs w:val="24"/>
          <w:lang w:val="hy-AM"/>
        </w:rPr>
        <w:t xml:space="preserve">6 ամիս, </w:t>
      </w:r>
      <w:r w:rsidR="00DE7053" w:rsidRPr="00286852">
        <w:rPr>
          <w:rFonts w:ascii="GHEA Grapalat" w:eastAsia="Times New Roman" w:hAnsi="GHEA Grapalat"/>
          <w:sz w:val="24"/>
          <w:szCs w:val="24"/>
          <w:lang w:val="hy-AM"/>
        </w:rPr>
        <w:t>կամ</w:t>
      </w:r>
      <w:r w:rsidRPr="00286852">
        <w:rPr>
          <w:rFonts w:ascii="GHEA Grapalat" w:eastAsia="Times New Roman" w:hAnsi="GHEA Grapalat"/>
          <w:sz w:val="24"/>
          <w:szCs w:val="24"/>
          <w:lang w:val="hy-AM"/>
        </w:rPr>
        <w:t>`0</w:t>
      </w:r>
      <w:r w:rsidR="00DE7053"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12 ամիս) և 1</w:t>
      </w:r>
      <w:r w:rsidR="00DE7053" w:rsidRPr="00286852">
        <w:rPr>
          <w:rFonts w:ascii="GHEA Grapalat" w:eastAsia="Times New Roman" w:hAnsi="GHEA Grapalat"/>
          <w:sz w:val="24"/>
          <w:szCs w:val="24"/>
          <w:lang w:val="hy-AM"/>
        </w:rPr>
        <w:t xml:space="preserve">5-26 տարեկան երիտասարդ կանանց 3 </w:t>
      </w:r>
      <w:r w:rsidRPr="00286852">
        <w:rPr>
          <w:rFonts w:ascii="GHEA Grapalat" w:eastAsia="Times New Roman" w:hAnsi="GHEA Grapalat"/>
          <w:sz w:val="24"/>
          <w:szCs w:val="24"/>
          <w:lang w:val="hy-AM"/>
        </w:rPr>
        <w:t xml:space="preserve">դեղաչափի </w:t>
      </w:r>
      <w:r w:rsidR="00DE7053" w:rsidRPr="00286852">
        <w:rPr>
          <w:rFonts w:ascii="GHEA Grapalat" w:eastAsia="Times New Roman" w:hAnsi="GHEA Grapalat"/>
          <w:sz w:val="24"/>
          <w:szCs w:val="24"/>
          <w:lang w:val="hy-AM"/>
        </w:rPr>
        <w:t>օրա</w:t>
      </w:r>
      <w:r w:rsidRPr="00286852">
        <w:rPr>
          <w:rFonts w:ascii="GHEA Grapalat" w:eastAsia="Times New Roman" w:hAnsi="GHEA Grapalat"/>
          <w:sz w:val="24"/>
          <w:szCs w:val="24"/>
          <w:lang w:val="hy-AM"/>
        </w:rPr>
        <w:t>ցույցի (0, 1 կամ 2, 6 ամիս) արդյունքների հետ: Ռանդոմիզացված հետազո</w:t>
      </w:r>
      <w:r w:rsidR="00DE7053" w:rsidRPr="00286852">
        <w:rPr>
          <w:rFonts w:ascii="GHEA Grapalat" w:eastAsia="Times New Roman" w:hAnsi="GHEA Grapalat"/>
          <w:sz w:val="24"/>
          <w:szCs w:val="24"/>
          <w:lang w:val="hy-AM"/>
        </w:rPr>
        <w:t>տությունների ընթացքում աղջիկների մոտ</w:t>
      </w:r>
      <w:r w:rsidRPr="00286852">
        <w:rPr>
          <w:rFonts w:ascii="GHEA Grapalat" w:eastAsia="Times New Roman" w:hAnsi="GHEA Grapalat"/>
          <w:sz w:val="24"/>
          <w:szCs w:val="24"/>
          <w:lang w:val="hy-AM"/>
        </w:rPr>
        <w:t xml:space="preserve"> 2 դեղաչափը </w:t>
      </w:r>
      <w:r w:rsidR="00DE7053" w:rsidRPr="00286852">
        <w:rPr>
          <w:rFonts w:ascii="GHEA Grapalat" w:eastAsia="Times New Roman" w:hAnsi="GHEA Grapalat"/>
          <w:sz w:val="24"/>
          <w:szCs w:val="24"/>
          <w:lang w:val="hy-AM"/>
        </w:rPr>
        <w:t xml:space="preserve">ապահովվում է </w:t>
      </w:r>
      <w:r w:rsidRPr="00286852">
        <w:rPr>
          <w:rFonts w:ascii="GHEA Grapalat" w:eastAsia="Times New Roman" w:hAnsi="GHEA Grapalat"/>
          <w:sz w:val="24"/>
          <w:szCs w:val="24"/>
          <w:lang w:val="hy-AM"/>
        </w:rPr>
        <w:t xml:space="preserve">ոչ պակաս իմունագենություն, կամ ավելի բարձր, քան </w:t>
      </w:r>
      <w:r w:rsidR="00DE7053" w:rsidRPr="00286852">
        <w:rPr>
          <w:rFonts w:ascii="GHEA Grapalat" w:eastAsia="Times New Roman" w:hAnsi="GHEA Grapalat"/>
          <w:sz w:val="24"/>
          <w:szCs w:val="24"/>
          <w:lang w:val="hy-AM"/>
        </w:rPr>
        <w:t xml:space="preserve">3 դեղաչափ ստացած </w:t>
      </w:r>
      <w:r w:rsidRPr="00286852">
        <w:rPr>
          <w:rFonts w:ascii="GHEA Grapalat" w:eastAsia="Times New Roman" w:hAnsi="GHEA Grapalat"/>
          <w:sz w:val="24"/>
          <w:szCs w:val="24"/>
          <w:lang w:val="hy-AM"/>
        </w:rPr>
        <w:t xml:space="preserve">երիտասարդ </w:t>
      </w:r>
      <w:r w:rsidRPr="00286852">
        <w:rPr>
          <w:rFonts w:ascii="GHEA Grapalat" w:eastAsia="Times New Roman" w:hAnsi="GHEA Grapalat"/>
          <w:sz w:val="24"/>
          <w:szCs w:val="24"/>
          <w:lang w:val="hy-AM"/>
        </w:rPr>
        <w:lastRenderedPageBreak/>
        <w:t>կանանց</w:t>
      </w:r>
      <w:r w:rsidR="00DE7053" w:rsidRPr="00286852">
        <w:rPr>
          <w:rFonts w:ascii="GHEA Grapalat" w:eastAsia="Times New Roman" w:hAnsi="GHEA Grapalat"/>
          <w:sz w:val="24"/>
          <w:szCs w:val="24"/>
          <w:lang w:val="hy-AM"/>
        </w:rPr>
        <w:t xml:space="preserve"> մոտ:</w:t>
      </w:r>
      <w:r w:rsidRPr="00286852">
        <w:rPr>
          <w:rFonts w:ascii="GHEA Grapalat" w:eastAsia="Times New Roman" w:hAnsi="GHEA Grapalat"/>
          <w:sz w:val="24"/>
          <w:szCs w:val="24"/>
          <w:lang w:val="hy-AM"/>
        </w:rPr>
        <w:t xml:space="preserve"> բոլոր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-ի համար նախատեսված բոլոր 9 տեսակի համար, բացառությամբ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-45- ի (հաշվի չառնելով ոչ լիարժեքությունը): </w:t>
      </w:r>
      <w:r w:rsidR="00582B1B" w:rsidRPr="00286852">
        <w:rPr>
          <w:rFonts w:ascii="GHEA Grapalat" w:eastAsia="Times New Roman" w:hAnsi="GHEA Grapalat"/>
          <w:sz w:val="24"/>
          <w:szCs w:val="24"/>
          <w:lang w:val="hy-AM"/>
        </w:rPr>
        <w:t>Պատվաստումից 7 ամիս հետո սերոկոնվերսիայի առումով</w:t>
      </w:r>
      <w:r w:rsidRPr="00286852">
        <w:rPr>
          <w:rFonts w:ascii="GHEA Grapalat" w:eastAsia="Times New Roman" w:hAnsi="GHEA Grapalat"/>
          <w:sz w:val="24"/>
          <w:szCs w:val="24"/>
          <w:lang w:val="hy-AM"/>
        </w:rPr>
        <w:t xml:space="preserve">  </w:t>
      </w:r>
      <w:r w:rsidR="00582B1B" w:rsidRPr="00286852">
        <w:rPr>
          <w:rFonts w:ascii="GHEA Grapalat" w:eastAsia="Times New Roman" w:hAnsi="GHEA Grapalat"/>
          <w:sz w:val="24"/>
          <w:szCs w:val="24"/>
          <w:lang w:val="hy-AM"/>
        </w:rPr>
        <w:t xml:space="preserve">ոչ մի տարբերություն </w:t>
      </w:r>
      <w:r w:rsidRPr="00286852">
        <w:rPr>
          <w:rFonts w:ascii="GHEA Grapalat" w:eastAsia="Times New Roman" w:hAnsi="GHEA Grapalat"/>
          <w:sz w:val="24"/>
          <w:szCs w:val="24"/>
          <w:lang w:val="hy-AM"/>
        </w:rPr>
        <w:t xml:space="preserve">չի գրանցվել խմբերի միջև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 </w:t>
      </w:r>
      <w:r w:rsidR="00582B1B" w:rsidRPr="00286852">
        <w:rPr>
          <w:rFonts w:ascii="GHEA Grapalat" w:eastAsia="Times New Roman" w:hAnsi="GHEA Grapalat"/>
          <w:sz w:val="24"/>
          <w:szCs w:val="24"/>
          <w:lang w:val="hy-AM"/>
        </w:rPr>
        <w:t xml:space="preserve">բոլոր 9 </w:t>
      </w:r>
      <w:r w:rsidRPr="00286852">
        <w:rPr>
          <w:rFonts w:ascii="GHEA Grapalat" w:eastAsia="Times New Roman" w:hAnsi="GHEA Grapalat"/>
          <w:sz w:val="24"/>
          <w:szCs w:val="24"/>
          <w:lang w:val="hy-AM"/>
        </w:rPr>
        <w:t xml:space="preserve">տեսակների համար: </w:t>
      </w:r>
      <w:r w:rsidR="00582B1B" w:rsidRPr="00286852">
        <w:rPr>
          <w:rFonts w:ascii="GHEA Grapalat" w:eastAsia="Times New Roman" w:hAnsi="GHEA Grapalat"/>
          <w:sz w:val="24"/>
          <w:szCs w:val="24"/>
          <w:lang w:val="hy-AM"/>
        </w:rPr>
        <w:t>Երկու</w:t>
      </w:r>
      <w:r w:rsidRPr="00286852">
        <w:rPr>
          <w:rFonts w:ascii="GHEA Grapalat" w:eastAsia="Times New Roman" w:hAnsi="GHEA Grapalat"/>
          <w:sz w:val="24"/>
          <w:szCs w:val="24"/>
          <w:lang w:val="hy-AM"/>
        </w:rPr>
        <w:t xml:space="preserve"> ոչ ռան</w:t>
      </w:r>
      <w:r w:rsidR="00582B1B" w:rsidRPr="00286852">
        <w:rPr>
          <w:rFonts w:ascii="GHEA Grapalat" w:eastAsia="Times New Roman" w:hAnsi="GHEA Grapalat"/>
          <w:sz w:val="24"/>
          <w:szCs w:val="24"/>
          <w:lang w:val="hy-AM"/>
        </w:rPr>
        <w:t>դ</w:t>
      </w:r>
      <w:r w:rsidRPr="00286852">
        <w:rPr>
          <w:rFonts w:ascii="GHEA Grapalat" w:eastAsia="Times New Roman" w:hAnsi="GHEA Grapalat"/>
          <w:sz w:val="24"/>
          <w:szCs w:val="24"/>
          <w:lang w:val="hy-AM"/>
        </w:rPr>
        <w:t xml:space="preserve">ոմիզացված հետազոտությունների ընթացքում, 2 դեղաչափով </w:t>
      </w:r>
      <w:r w:rsidR="00582B1B" w:rsidRPr="00286852">
        <w:rPr>
          <w:rFonts w:ascii="GHEA Grapalat" w:eastAsia="Times New Roman" w:hAnsi="GHEA Grapalat"/>
          <w:sz w:val="24"/>
          <w:szCs w:val="24"/>
          <w:lang w:val="hy-AM"/>
        </w:rPr>
        <w:t>պատվաստվածների մոտ հակամարմինների</w:t>
      </w:r>
      <w:r w:rsidRPr="00286852">
        <w:rPr>
          <w:rFonts w:ascii="GHEA Grapalat" w:eastAsia="Times New Roman" w:hAnsi="GHEA Grapalat"/>
          <w:sz w:val="24"/>
          <w:szCs w:val="24"/>
          <w:lang w:val="hy-AM"/>
        </w:rPr>
        <w:t xml:space="preserve"> ցուցանիշները չէին զիջում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-11 և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-18 դեպքում, սակայն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-6 և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-16 դեպքում</w:t>
      </w:r>
      <w:r w:rsidR="00582B1B" w:rsidRPr="00286852">
        <w:rPr>
          <w:rFonts w:ascii="GHEA Grapalat" w:eastAsia="Times New Roman" w:hAnsi="GHEA Grapalat"/>
          <w:sz w:val="24"/>
          <w:szCs w:val="24"/>
          <w:lang w:val="hy-AM"/>
        </w:rPr>
        <w:t xml:space="preserve"> տարբերություն չի գրանցվել</w:t>
      </w:r>
      <w:r w:rsidRPr="00286852">
        <w:rPr>
          <w:rFonts w:ascii="GHEA Grapalat" w:eastAsia="Times New Roman" w:hAnsi="GHEA Grapalat"/>
          <w:sz w:val="24"/>
          <w:szCs w:val="24"/>
          <w:lang w:val="hy-AM"/>
        </w:rPr>
        <w:t>։</w:t>
      </w:r>
    </w:p>
    <w:p w:rsidR="00A47CB6" w:rsidRPr="00286852" w:rsidRDefault="00A47CB6" w:rsidP="00A47CB6">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 Վերջերս անցկացված հետազոտությունը համեմատել է </w:t>
      </w:r>
      <w:r w:rsidR="00E260E5" w:rsidRPr="00286852">
        <w:rPr>
          <w:rFonts w:ascii="GHEA Grapalat" w:eastAsia="Times New Roman" w:hAnsi="GHEA Grapalat"/>
          <w:sz w:val="24"/>
          <w:szCs w:val="24"/>
          <w:lang w:val="hy-AM"/>
        </w:rPr>
        <w:t>իննավալենտ</w:t>
      </w:r>
      <w:r w:rsidRPr="00286852">
        <w:rPr>
          <w:rFonts w:ascii="GHEA Grapalat" w:eastAsia="Times New Roman" w:hAnsi="GHEA Grapalat"/>
          <w:sz w:val="24"/>
          <w:szCs w:val="24"/>
          <w:lang w:val="hy-AM"/>
        </w:rPr>
        <w:t xml:space="preserve">    </w:t>
      </w:r>
      <w:r w:rsidR="00E260E5" w:rsidRPr="00286852">
        <w:rPr>
          <w:rFonts w:ascii="GHEA Grapalat" w:eastAsia="Times New Roman" w:hAnsi="GHEA Grapalat"/>
          <w:sz w:val="24"/>
          <w:szCs w:val="24"/>
          <w:lang w:val="hy-AM"/>
        </w:rPr>
        <w:t xml:space="preserve">ՄՊՎ-ի դեմ </w:t>
      </w:r>
      <w:r w:rsidRPr="00286852">
        <w:rPr>
          <w:rFonts w:ascii="GHEA Grapalat" w:eastAsia="Times New Roman" w:hAnsi="GHEA Grapalat"/>
          <w:sz w:val="24"/>
          <w:szCs w:val="24"/>
          <w:lang w:val="hy-AM"/>
        </w:rPr>
        <w:t>պատվաստանյութի դեպքում իմունոգենությունը, օգտագործելով աղջիկների և տղաների 2-դոզային ռեժիմները երիտասարդ կանանց 3-դոզային ռեժիմի հետ: 71 Վերջին դեղաչափից 4</w:t>
      </w:r>
      <w:r w:rsidR="00B2741C"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 շաբաթ անց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-ի  դեմ հակամարմինները 9-14 տարեկան աղջիկների և տղաներին 6 կամ 12 ամսվա բաժանված 2 դեղաչափերի դեպքում ոչ պակաս  էին </w:t>
      </w:r>
      <w:r w:rsidR="00E260E5" w:rsidRPr="00286852">
        <w:rPr>
          <w:rFonts w:ascii="GHEA Grapalat" w:eastAsia="Times New Roman" w:hAnsi="GHEA Grapalat"/>
          <w:sz w:val="24"/>
          <w:szCs w:val="24"/>
          <w:lang w:val="hy-AM"/>
        </w:rPr>
        <w:t>ՄՊՎ</w:t>
      </w:r>
      <w:r w:rsidRPr="00286852">
        <w:rPr>
          <w:rFonts w:ascii="GHEA Grapalat" w:eastAsia="Times New Roman" w:hAnsi="GHEA Grapalat"/>
          <w:sz w:val="24"/>
          <w:szCs w:val="24"/>
          <w:lang w:val="hy-AM"/>
        </w:rPr>
        <w:t xml:space="preserve"> պատասխանների դեմ հակամարմինների ցուցանիշներից երիտասարդ աղջիկներին և երիտասարդ կանանց, որոնք ստացել էին  6 և 12 ամիսներին։</w:t>
      </w:r>
    </w:p>
    <w:p w:rsidR="00A47CB6" w:rsidRPr="00286852" w:rsidRDefault="00E260E5" w:rsidP="00A47CB6">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Այս հետազոտությունները</w:t>
      </w:r>
      <w:r w:rsidR="00A47CB6" w:rsidRPr="00286852">
        <w:rPr>
          <w:rFonts w:ascii="GHEA Grapalat" w:eastAsia="Times New Roman" w:hAnsi="GHEA Grapalat"/>
          <w:sz w:val="24"/>
          <w:szCs w:val="24"/>
          <w:lang w:val="hy-AM"/>
        </w:rPr>
        <w:t xml:space="preserve"> </w:t>
      </w:r>
      <w:r w:rsidR="005E1D65" w:rsidRPr="00286852">
        <w:rPr>
          <w:rFonts w:ascii="GHEA Grapalat" w:eastAsia="Times New Roman" w:hAnsi="GHEA Grapalat"/>
          <w:sz w:val="24"/>
          <w:szCs w:val="24"/>
          <w:lang w:val="hy-AM"/>
        </w:rPr>
        <w:t xml:space="preserve">ցույց </w:t>
      </w:r>
      <w:r w:rsidR="00A47CB6" w:rsidRPr="00286852">
        <w:rPr>
          <w:rFonts w:ascii="GHEA Grapalat" w:eastAsia="Times New Roman" w:hAnsi="GHEA Grapalat"/>
          <w:sz w:val="24"/>
          <w:szCs w:val="24"/>
          <w:lang w:val="hy-AM"/>
        </w:rPr>
        <w:t>են</w:t>
      </w:r>
      <w:r w:rsidR="005E1D65" w:rsidRPr="00286852">
        <w:rPr>
          <w:rFonts w:ascii="GHEA Grapalat" w:eastAsia="Times New Roman" w:hAnsi="GHEA Grapalat"/>
          <w:sz w:val="24"/>
          <w:szCs w:val="24"/>
          <w:lang w:val="hy-AM"/>
        </w:rPr>
        <w:t xml:space="preserve"> տալիս</w:t>
      </w:r>
      <w:r w:rsidR="00A47CB6" w:rsidRPr="00286852">
        <w:rPr>
          <w:rFonts w:ascii="GHEA Grapalat" w:eastAsia="Times New Roman" w:hAnsi="GHEA Grapalat"/>
          <w:sz w:val="24"/>
          <w:szCs w:val="24"/>
          <w:lang w:val="hy-AM"/>
        </w:rPr>
        <w:t xml:space="preserve">, որ </w:t>
      </w:r>
      <w:r w:rsidRPr="00286852">
        <w:rPr>
          <w:rFonts w:ascii="GHEA Grapalat" w:eastAsia="Times New Roman" w:hAnsi="GHEA Grapalat"/>
          <w:sz w:val="24"/>
          <w:szCs w:val="24"/>
          <w:lang w:val="hy-AM"/>
        </w:rPr>
        <w:t xml:space="preserve">ՄՊՎ-ի դեմ 3 հավաստագրված </w:t>
      </w:r>
      <w:r w:rsidR="00A47CB6" w:rsidRPr="00286852">
        <w:rPr>
          <w:rFonts w:ascii="GHEA Grapalat" w:eastAsia="Times New Roman" w:hAnsi="GHEA Grapalat"/>
          <w:sz w:val="24"/>
          <w:szCs w:val="24"/>
          <w:lang w:val="hy-AM"/>
        </w:rPr>
        <w:t>պատվաստանյութ</w:t>
      </w:r>
      <w:r w:rsidRPr="00286852">
        <w:rPr>
          <w:rFonts w:ascii="GHEA Grapalat" w:eastAsia="Times New Roman" w:hAnsi="GHEA Grapalat"/>
          <w:sz w:val="24"/>
          <w:szCs w:val="24"/>
          <w:lang w:val="hy-AM"/>
        </w:rPr>
        <w:t>եր</w:t>
      </w:r>
      <w:r w:rsidR="00A47CB6" w:rsidRPr="00286852">
        <w:rPr>
          <w:rFonts w:ascii="GHEA Grapalat" w:eastAsia="Times New Roman" w:hAnsi="GHEA Grapalat"/>
          <w:sz w:val="24"/>
          <w:szCs w:val="24"/>
          <w:lang w:val="hy-AM"/>
        </w:rPr>
        <w:t xml:space="preserve">ը </w:t>
      </w:r>
      <w:r w:rsidRPr="00286852">
        <w:rPr>
          <w:rFonts w:ascii="GHEA Grapalat" w:eastAsia="Times New Roman" w:hAnsi="GHEA Grapalat"/>
          <w:sz w:val="24"/>
          <w:szCs w:val="24"/>
          <w:lang w:val="hy-AM"/>
        </w:rPr>
        <w:t>ունեն մի</w:t>
      </w:r>
      <w:r w:rsidR="00A47CB6" w:rsidRPr="00286852">
        <w:rPr>
          <w:rFonts w:ascii="GHEA Grapalat" w:eastAsia="Times New Roman" w:hAnsi="GHEA Grapalat"/>
          <w:sz w:val="24"/>
          <w:szCs w:val="24"/>
          <w:lang w:val="hy-AM"/>
        </w:rPr>
        <w:t xml:space="preserve">անման արդյունավետություն արգանդի </w:t>
      </w:r>
      <w:r w:rsidRPr="00286852">
        <w:rPr>
          <w:rFonts w:ascii="GHEA Grapalat" w:eastAsia="Times New Roman" w:hAnsi="GHEA Grapalat"/>
          <w:sz w:val="24"/>
          <w:szCs w:val="24"/>
          <w:lang w:val="hy-AM"/>
        </w:rPr>
        <w:t>պարանոց</w:t>
      </w:r>
      <w:r w:rsidR="00A47CB6" w:rsidRPr="00286852">
        <w:rPr>
          <w:rFonts w:ascii="GHEA Grapalat" w:eastAsia="Times New Roman" w:hAnsi="GHEA Grapalat"/>
          <w:sz w:val="24"/>
          <w:szCs w:val="24"/>
          <w:lang w:val="hy-AM"/>
        </w:rPr>
        <w:t>ի քաղցկեղի կանխարգելման համար։</w:t>
      </w:r>
    </w:p>
    <w:p w:rsidR="00A47CB6" w:rsidRPr="00286852" w:rsidRDefault="00E260E5" w:rsidP="00A47CB6">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ի </w:t>
      </w:r>
      <w:r w:rsidRPr="00286852">
        <w:rPr>
          <w:rFonts w:ascii="GHEA Grapalat" w:eastAsia="Times New Roman" w:hAnsi="GHEA Grapalat"/>
          <w:sz w:val="24"/>
          <w:szCs w:val="24"/>
          <w:lang w:val="hy-AM"/>
        </w:rPr>
        <w:t>դեմ պատվաստումները</w:t>
      </w:r>
      <w:r w:rsidR="00A47CB6" w:rsidRPr="00286852">
        <w:rPr>
          <w:rFonts w:ascii="GHEA Grapalat" w:eastAsia="Times New Roman" w:hAnsi="GHEA Grapalat"/>
          <w:sz w:val="24"/>
          <w:szCs w:val="24"/>
          <w:lang w:val="hy-AM"/>
        </w:rPr>
        <w:t xml:space="preserve"> արդյունավետ են </w:t>
      </w:r>
      <w:r w:rsidRPr="00286852">
        <w:rPr>
          <w:rFonts w:ascii="GHEA Grapalat" w:eastAsia="Times New Roman" w:hAnsi="GHEA Grapalat"/>
          <w:sz w:val="24"/>
          <w:szCs w:val="24"/>
          <w:lang w:val="hy-AM"/>
        </w:rPr>
        <w:t>նաև</w:t>
      </w:r>
      <w:r w:rsidR="00A47CB6" w:rsidRPr="00286852">
        <w:rPr>
          <w:rFonts w:ascii="GHEA Grapalat" w:eastAsia="Times New Roman" w:hAnsi="GHEA Grapalat"/>
          <w:sz w:val="24"/>
          <w:szCs w:val="24"/>
          <w:lang w:val="hy-AM"/>
        </w:rPr>
        <w:t xml:space="preserve"> անոգենիտալ գորտնուկների տարածվածության նվազեցման մեջ: Տղամարդկանց և կանանց շրջանում անոգենիտալ գորտնուկների և 16-26 տարեկան  տղամարդկանց անոգենիտալ նախաքաղցկեղային հիվանդությունների դեմ բարձր մակարդակի պաշտպանություն է ապահովում քառավալենտ պատվաստանյութը, որը ներառում է </w:t>
      </w:r>
      <w:r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-6 </w:t>
      </w:r>
      <w:r w:rsidRPr="00286852">
        <w:rPr>
          <w:rFonts w:ascii="GHEA Grapalat" w:eastAsia="Times New Roman" w:hAnsi="GHEA Grapalat"/>
          <w:sz w:val="24"/>
          <w:szCs w:val="24"/>
          <w:lang w:val="hy-AM"/>
        </w:rPr>
        <w:t>և</w:t>
      </w:r>
      <w:r w:rsidR="00A47CB6"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-11 տեսակները։ Այս պատվաստանյութի ներդրմամբ հաջորդեց  անոգենիտալ գորտնուկների տարածվածության արագ անկում: </w:t>
      </w:r>
      <w:r w:rsidR="00A47CB6" w:rsidRPr="00286852">
        <w:rPr>
          <w:rFonts w:ascii="GHEA Grapalat" w:eastAsia="Times New Roman" w:hAnsi="GHEA Grapalat"/>
          <w:sz w:val="18"/>
          <w:szCs w:val="18"/>
          <w:lang w:val="hy-AM"/>
        </w:rPr>
        <w:t>59</w:t>
      </w:r>
      <w:r w:rsidR="00A47CB6" w:rsidRPr="00286852">
        <w:rPr>
          <w:rFonts w:ascii="GHEA Grapalat" w:eastAsia="Times New Roman" w:hAnsi="GHEA Grapalat"/>
          <w:sz w:val="24"/>
          <w:szCs w:val="24"/>
          <w:lang w:val="hy-AM"/>
        </w:rPr>
        <w:t xml:space="preserve">. </w:t>
      </w:r>
      <w:r w:rsidR="007609CA" w:rsidRPr="00286852">
        <w:rPr>
          <w:rFonts w:ascii="GHEA Grapalat" w:eastAsia="Times New Roman" w:hAnsi="GHEA Grapalat"/>
          <w:sz w:val="24"/>
          <w:szCs w:val="24"/>
          <w:lang w:val="hy-AM"/>
        </w:rPr>
        <w:t xml:space="preserve">Շճակոնվերսիայի բարձր մակարդակ է արձանագրվել նաև </w:t>
      </w:r>
      <w:r w:rsidR="00520F02"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-6 և </w:t>
      </w:r>
      <w:r w:rsidR="00520F02"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-11 </w:t>
      </w:r>
      <w:r w:rsidR="007609CA" w:rsidRPr="00286852">
        <w:rPr>
          <w:rFonts w:ascii="GHEA Grapalat" w:eastAsia="Times New Roman" w:hAnsi="GHEA Grapalat"/>
          <w:sz w:val="24"/>
          <w:szCs w:val="24"/>
          <w:lang w:val="hy-AM"/>
        </w:rPr>
        <w:t>նկատմամբ</w:t>
      </w:r>
      <w:r w:rsidR="00A47CB6" w:rsidRPr="00286852">
        <w:rPr>
          <w:rFonts w:ascii="GHEA Grapalat" w:eastAsia="Times New Roman" w:hAnsi="GHEA Grapalat"/>
          <w:sz w:val="24"/>
          <w:szCs w:val="24"/>
          <w:lang w:val="hy-AM"/>
        </w:rPr>
        <w:t xml:space="preserve"> 9-45 տարեկան կանանց </w:t>
      </w:r>
      <w:r w:rsidR="007609CA" w:rsidRPr="00286852">
        <w:rPr>
          <w:rFonts w:ascii="GHEA Grapalat" w:eastAsia="Times New Roman" w:hAnsi="GHEA Grapalat"/>
          <w:sz w:val="24"/>
          <w:szCs w:val="24"/>
          <w:lang w:val="hy-AM"/>
        </w:rPr>
        <w:t>և 9-26 տարեկան տղամարդկանց մոտ:</w:t>
      </w:r>
      <w:r w:rsidR="00A47CB6" w:rsidRPr="00286852">
        <w:rPr>
          <w:rFonts w:ascii="GHEA Grapalat" w:eastAsia="Times New Roman" w:hAnsi="GHEA Grapalat"/>
          <w:sz w:val="18"/>
          <w:szCs w:val="18"/>
          <w:lang w:val="hy-AM"/>
        </w:rPr>
        <w:t>80</w:t>
      </w:r>
      <w:r w:rsidR="00A47CB6" w:rsidRPr="00286852">
        <w:rPr>
          <w:rFonts w:ascii="GHEA Grapalat" w:eastAsia="Times New Roman" w:hAnsi="GHEA Grapalat"/>
          <w:sz w:val="24"/>
          <w:szCs w:val="24"/>
          <w:lang w:val="hy-AM"/>
        </w:rPr>
        <w:t xml:space="preserve"> </w:t>
      </w:r>
      <w:r w:rsidR="007609CA" w:rsidRPr="00286852">
        <w:rPr>
          <w:rFonts w:ascii="GHEA Grapalat" w:eastAsia="Times New Roman" w:hAnsi="GHEA Grapalat"/>
          <w:sz w:val="24"/>
          <w:szCs w:val="24"/>
          <w:lang w:val="hy-AM"/>
        </w:rPr>
        <w:t>Ո</w:t>
      </w:r>
      <w:r w:rsidR="00A47CB6" w:rsidRPr="00286852">
        <w:rPr>
          <w:rFonts w:ascii="GHEA Grapalat" w:eastAsia="Times New Roman" w:hAnsi="GHEA Grapalat"/>
          <w:sz w:val="24"/>
          <w:szCs w:val="24"/>
          <w:lang w:val="hy-AM"/>
        </w:rPr>
        <w:t>ւսումնասիրություններ</w:t>
      </w:r>
      <w:r w:rsidR="007609CA" w:rsidRPr="00286852">
        <w:rPr>
          <w:rFonts w:ascii="GHEA Grapalat" w:eastAsia="Times New Roman" w:hAnsi="GHEA Grapalat"/>
          <w:sz w:val="24"/>
          <w:szCs w:val="24"/>
          <w:lang w:val="hy-AM"/>
        </w:rPr>
        <w:t>ը</w:t>
      </w:r>
      <w:r w:rsidR="00A47CB6" w:rsidRPr="00286852">
        <w:rPr>
          <w:rFonts w:ascii="GHEA Grapalat" w:eastAsia="Times New Roman" w:hAnsi="GHEA Grapalat"/>
          <w:sz w:val="24"/>
          <w:szCs w:val="24"/>
          <w:lang w:val="hy-AM"/>
        </w:rPr>
        <w:t xml:space="preserve"> ցույց են տվել, որ </w:t>
      </w:r>
      <w:r w:rsidR="00520F02" w:rsidRPr="00286852">
        <w:rPr>
          <w:rFonts w:ascii="Sylfaen" w:eastAsia="Times New Roman" w:hAnsi="Sylfaen"/>
          <w:sz w:val="24"/>
          <w:szCs w:val="24"/>
          <w:lang w:val="hy-AM"/>
        </w:rPr>
        <w:t>ՄՊՎ-</w:t>
      </w:r>
      <w:r w:rsidR="007609CA" w:rsidRPr="00286852">
        <w:rPr>
          <w:rFonts w:ascii="Sylfaen" w:eastAsia="Times New Roman" w:hAnsi="Sylfaen"/>
          <w:sz w:val="24"/>
          <w:szCs w:val="24"/>
          <w:lang w:val="hy-AM"/>
        </w:rPr>
        <w:t>ով</w:t>
      </w:r>
      <w:r w:rsidR="00A47CB6" w:rsidRPr="00286852">
        <w:rPr>
          <w:rFonts w:ascii="GHEA Grapalat" w:eastAsia="Times New Roman" w:hAnsi="GHEA Grapalat"/>
          <w:sz w:val="24"/>
          <w:szCs w:val="24"/>
          <w:lang w:val="hy-AM"/>
        </w:rPr>
        <w:t xml:space="preserve"> չվարակված </w:t>
      </w:r>
      <w:r w:rsidR="007609CA" w:rsidRPr="00286852">
        <w:rPr>
          <w:rFonts w:ascii="GHEA Grapalat" w:eastAsia="Times New Roman" w:hAnsi="GHEA Grapalat"/>
          <w:sz w:val="24"/>
          <w:szCs w:val="24"/>
          <w:lang w:val="hy-AM"/>
        </w:rPr>
        <w:t>անձանց</w:t>
      </w:r>
      <w:r w:rsidR="00A47CB6" w:rsidRPr="00286852">
        <w:rPr>
          <w:rFonts w:ascii="GHEA Grapalat" w:eastAsia="Times New Roman" w:hAnsi="GHEA Grapalat"/>
          <w:sz w:val="24"/>
          <w:szCs w:val="24"/>
          <w:lang w:val="hy-AM"/>
        </w:rPr>
        <w:t xml:space="preserve"> շրջանում քառավալենտ պատվաստանյութը տալիս է գրեթե 100% պաշտպանություն  անոգենիտալ գորտնուկներից</w:t>
      </w:r>
      <w:r w:rsidR="007609CA" w:rsidRPr="00286852">
        <w:rPr>
          <w:rFonts w:ascii="GHEA Grapalat" w:eastAsia="Times New Roman" w:hAnsi="GHEA Grapalat"/>
          <w:sz w:val="24"/>
          <w:szCs w:val="24"/>
          <w:lang w:val="hy-AM"/>
        </w:rPr>
        <w:t>՝ պայմանավորված</w:t>
      </w:r>
      <w:r w:rsidR="00A47CB6" w:rsidRPr="00286852">
        <w:rPr>
          <w:rFonts w:ascii="GHEA Grapalat" w:eastAsia="Times New Roman" w:hAnsi="GHEA Grapalat"/>
          <w:sz w:val="24"/>
          <w:szCs w:val="24"/>
          <w:lang w:val="hy-AM"/>
        </w:rPr>
        <w:t xml:space="preserve"> </w:t>
      </w:r>
      <w:r w:rsidR="00520F02"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-6 </w:t>
      </w:r>
      <w:r w:rsidR="00520F02" w:rsidRPr="00286852">
        <w:rPr>
          <w:rFonts w:ascii="GHEA Grapalat" w:eastAsia="Times New Roman" w:hAnsi="GHEA Grapalat"/>
          <w:sz w:val="24"/>
          <w:szCs w:val="24"/>
          <w:lang w:val="hy-AM"/>
        </w:rPr>
        <w:t>և</w:t>
      </w:r>
      <w:r w:rsidR="00A47CB6" w:rsidRPr="00286852">
        <w:rPr>
          <w:rFonts w:ascii="GHEA Grapalat" w:eastAsia="Times New Roman" w:hAnsi="GHEA Grapalat"/>
          <w:sz w:val="24"/>
          <w:szCs w:val="24"/>
          <w:lang w:val="hy-AM"/>
        </w:rPr>
        <w:t xml:space="preserve"> </w:t>
      </w:r>
      <w:r w:rsidR="00520F02" w:rsidRPr="00286852">
        <w:rPr>
          <w:rFonts w:ascii="GHEA Grapalat" w:eastAsia="Times New Roman" w:hAnsi="GHEA Grapalat"/>
          <w:sz w:val="24"/>
          <w:szCs w:val="24"/>
          <w:lang w:val="hy-AM"/>
        </w:rPr>
        <w:t>ՄՊՎ</w:t>
      </w:r>
      <w:r w:rsidR="00A47CB6" w:rsidRPr="00286852">
        <w:rPr>
          <w:rFonts w:ascii="GHEA Grapalat" w:eastAsia="Times New Roman" w:hAnsi="GHEA Grapalat"/>
          <w:sz w:val="24"/>
          <w:szCs w:val="24"/>
          <w:lang w:val="hy-AM"/>
        </w:rPr>
        <w:t xml:space="preserve">-11, </w:t>
      </w:r>
      <w:r w:rsidR="007609CA" w:rsidRPr="00286852">
        <w:rPr>
          <w:rFonts w:ascii="GHEA Grapalat" w:eastAsia="Times New Roman" w:hAnsi="GHEA Grapalat"/>
          <w:sz w:val="24"/>
          <w:szCs w:val="24"/>
          <w:lang w:val="hy-AM"/>
        </w:rPr>
        <w:t xml:space="preserve">բոլոր տիպի անոգենիտալ գորտնուկների առումով՝ 83% </w:t>
      </w:r>
      <w:r w:rsidR="00A47CB6" w:rsidRPr="00286852">
        <w:rPr>
          <w:rFonts w:ascii="GHEA Grapalat" w:eastAsia="Times New Roman" w:hAnsi="GHEA Grapalat"/>
          <w:sz w:val="24"/>
          <w:szCs w:val="24"/>
          <w:lang w:val="hy-AM"/>
        </w:rPr>
        <w:t>արդյունավետությամբ</w:t>
      </w:r>
      <w:r w:rsidR="007609CA" w:rsidRPr="00286852">
        <w:rPr>
          <w:rFonts w:ascii="GHEA Grapalat" w:eastAsia="Times New Roman" w:hAnsi="GHEA Grapalat"/>
          <w:sz w:val="24"/>
          <w:szCs w:val="24"/>
          <w:lang w:val="hy-AM"/>
        </w:rPr>
        <w:t>:</w:t>
      </w:r>
      <w:r w:rsidR="00A47CB6" w:rsidRPr="00286852">
        <w:rPr>
          <w:rFonts w:ascii="GHEA Grapalat" w:eastAsia="Times New Roman" w:hAnsi="GHEA Grapalat"/>
          <w:sz w:val="18"/>
          <w:szCs w:val="18"/>
          <w:lang w:val="hy-AM"/>
        </w:rPr>
        <w:t>81</w:t>
      </w:r>
      <w:r w:rsidR="00A47CB6" w:rsidRPr="00286852">
        <w:rPr>
          <w:rFonts w:ascii="GHEA Grapalat" w:eastAsia="Times New Roman" w:hAnsi="GHEA Grapalat"/>
          <w:sz w:val="24"/>
          <w:szCs w:val="24"/>
          <w:lang w:val="hy-AM"/>
        </w:rPr>
        <w:t xml:space="preserve"> </w:t>
      </w:r>
    </w:p>
    <w:p w:rsidR="00204E53" w:rsidRPr="00286852" w:rsidRDefault="00204E53" w:rsidP="00204E53">
      <w:pPr>
        <w:spacing w:line="360" w:lineRule="auto"/>
        <w:ind w:firstLine="720"/>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Որոշ երկրներում սեռական կոնդիլոմանիերի դեպքերի իջեցում արձանագրվեց, երբ ազգային օրացույց նեդրվեցին պատվաստումներ քառավալենտ ՄՊՎ-ի դեմ պատվաստանյութով, ընդ որում դիտվում էր հիվանդացության իջեցում նաև չպատվաստված երիտասարդ տղամարդկանց շրջանում, երբ պատվաստումները իրականացվում էին միայն կանանց շրջանում: Կա հետազոտական աշխատանք, որը ցույց է տալիս, որ իննավալենտ և քառավալենտ պատվաստանյութերից նույն պաշտպանությունն է զարգանում ՄՊՎ վարակի 6  և 11 շճատիպերի դեմ:</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Կան նաև որոշ իհարկե հակասող ապացույցներ, որ երկվալենտ պատվաստանյութը առաջացնում է խաչաձև անընկալություն նաև մյուս շճատիպերից, սակայն ավելի ցածր արդյունավետությամբ քառավալենտ պատվաստանյութի համեմատությամբ:</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Տվյալները ՄՊՎ-ի դեմ պատվաստանյութի նախաքաղցկեղային վիճակներից պաշտպանության արդյունավետության վերաբերյալ հակասական են այն դեպքերում, երբ կինը նախկինում վարակված է եղել նույն շճատիպերով:</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Հետազոտությունները ցույց են տվել, որ տղամարդկանց շրջանում իրականացված ՄՊՎ-ի դեմ պատվաստումները քառավալենտ </w:t>
      </w:r>
      <w:r w:rsidRPr="00286852">
        <w:rPr>
          <w:rFonts w:ascii="GHEA Grapalat" w:eastAsia="Times New Roman" w:hAnsi="GHEA Grapalat"/>
          <w:sz w:val="24"/>
          <w:szCs w:val="24"/>
          <w:lang w:val="hy-AM"/>
        </w:rPr>
        <w:lastRenderedPageBreak/>
        <w:t>պատվաստանյութով առաջացնում են հակամարմիններ բերանի խոռոչում և դրանք համապատասխանում են շրջանառող հակամարմինների մակարդակին: Երկվալենտ պատվաստանյութի ուսումնասիրությունը ցույց տվեց, պատվաստանյութի արդյունավետությունը 93.3% է բերանի խոռոչի ՄՊՎ16 և ՄՊՎ 18  վարակների նկատմամբ շուրջ չորս տարվա ընթացքում:</w:t>
      </w:r>
    </w:p>
    <w:p w:rsidR="00204E53" w:rsidRPr="00286852" w:rsidRDefault="00204E53" w:rsidP="00204E53">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Թուլացած իմունային համակարգով կամ ՄԻԱՎ վարակված անձանց պատվաստումը</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Այս խմբի անձանց շրջանում պատվաստումների իմունոգենության վերաբերյալ տվյալները շատ սահմանափակ են, առկա են տվյալներ եռանվագ սխեմայով պատվաստումների վերաբերյալ կանանց, տղամարդկանց և երեխաների շրջանում, որոնք ցույց են տալիս պատվաստանյութի անվտանգությունը:</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ՄԻԱՎ վարակակիր պատվաստված երեխաների մոտ, որոնք պատվաստվել են եռանվագ սխեմայով, դիտվում է ՄՊՎ վարակի սերոկոնվերսիա ինրպես պատվաստանյութի շտամների, այնպես էլ պատվաստանյութի մեջ չպարունակվող շտամների նկատմամբ: ՄԻԱՎ վարակված կանանց մոտ երկվալենտ պատվատանյութի եռանվագ սխեմայի դեպքում հակամարմիններ </w:t>
      </w:r>
      <w:r w:rsidRPr="00286852">
        <w:rPr>
          <w:rFonts w:ascii="GHEA Grapalat" w:eastAsia="Times New Roman" w:hAnsi="GHEA Grapalat"/>
          <w:sz w:val="24"/>
          <w:szCs w:val="24"/>
          <w:lang w:val="hy-AM"/>
        </w:rPr>
        <w:lastRenderedPageBreak/>
        <w:t>ավելի քիչ են առաջանում, քան ՄԻԱՎ չվարակված կանանց մոտ, սակայն սերոկոնվերսիայի մակարդակը երկու խմբերում էլ նույնն է: ՄՊՎ 16 վարակի նկատմամբ երկվալենտ պատվաստանյութը ունի նույն իմունոգենությունը, ինչ քառավալենտ պատվաստանյութը, սակայն ավելի բարձր է սերոկոնվերսիայի մակարդակը ՄՊՎ 18  նկատմամբ ՄԻԱՎ վարակված կանանց մոտ:</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Տվյալներ երկվալենտ, քառավալենտ և իննավալենտ պատվաստանյութի երկու դեղաչափ սխեմայով օգտագործման վերաբերյալ չկան:</w:t>
      </w:r>
    </w:p>
    <w:p w:rsidR="00204E53" w:rsidRPr="00286852" w:rsidRDefault="00204E53" w:rsidP="00204E53">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Խաչաձև անընկալություն</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Արգանդի պարանոցի քաղցկեղի կանխարգելման առումով արտոնագրված երեք ՄՊՊ պատվաստանյութերն էլ ապահովում են բարձր պաշտպանություն ՄՊՎ 16 և 18 նկատմամբ, սրանք այն շճատիպերն են, որոնցով պայմանավորված են արգանդի պարանոցի քաղցկեղի 71% դեպքերը:</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ՄՊՊ պատվաստանյութերը ապահովում են խաչաձև անընկալություն այն շճատիպերի նկատմամբ, որոնք չկան պատվաստանյութի բաղադրության մեջ: Կլինիկական հետազոտությունների, ինչպես նաև պատվաստանյութի ներդրման գնահատման արդյունքների հիման վրա հաստատվել է, որ երկվալենտ և քառավալենտ պատվաստանյութերը առաջացնում են կայուն </w:t>
      </w:r>
      <w:r w:rsidRPr="00286852">
        <w:rPr>
          <w:rFonts w:ascii="GHEA Grapalat" w:eastAsia="Times New Roman" w:hAnsi="GHEA Grapalat"/>
          <w:sz w:val="24"/>
          <w:szCs w:val="24"/>
          <w:lang w:val="hy-AM"/>
        </w:rPr>
        <w:lastRenderedPageBreak/>
        <w:t>պաշտպանություն ՄՊՎ 16 և 18 տիպեի նկատմամբ, ինչպես նաև որոշակի խաչաձև անընկալություն հատկապես 31, 33, 45 տիպերի նկատմամբ, որոնցով պայմանավորված են արգանդի պարանոցի քաղցկեղի 13% դեպքերը: ՄՊՎ վարակի  31</w:t>
      </w:r>
      <w:r w:rsidR="0019670C"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33</w:t>
      </w:r>
      <w:r w:rsidR="0019670C"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45, 52 и 58</w:t>
      </w:r>
      <w:r w:rsidR="0019670C"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շճատիպերը, որոնց հանդեպ ինն</w:t>
      </w:r>
      <w:r w:rsidR="0019670C" w:rsidRPr="00286852">
        <w:rPr>
          <w:rFonts w:ascii="GHEA Grapalat" w:eastAsia="Times New Roman" w:hAnsi="GHEA Grapalat"/>
          <w:sz w:val="24"/>
          <w:szCs w:val="24"/>
          <w:lang w:val="hy-AM"/>
        </w:rPr>
        <w:t>ա</w:t>
      </w:r>
      <w:r w:rsidRPr="00286852">
        <w:rPr>
          <w:rFonts w:ascii="GHEA Grapalat" w:eastAsia="Times New Roman" w:hAnsi="GHEA Grapalat"/>
          <w:sz w:val="24"/>
          <w:szCs w:val="24"/>
          <w:lang w:val="hy-AM"/>
        </w:rPr>
        <w:t>վալենտ պատվաստանյութը առաջացնում է անմիջական պաշտպանություն, կապված են 18% դեպքերի հետ, այսինքն համեմատելի են 5% դեպքերի հետ, երբ երկվալենտ և քառավալենտ պատվաստանյութերից առաջանում է խաչաձև անընկալություն ՄՊՎ վարակի 31</w:t>
      </w:r>
      <w:r w:rsidR="0019670C"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33</w:t>
      </w:r>
      <w:r w:rsidR="0019670C"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45 շճատիպերի նկատմամբ:</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Ինն</w:t>
      </w:r>
      <w:r w:rsidR="0019670C" w:rsidRPr="00286852">
        <w:rPr>
          <w:rFonts w:ascii="GHEA Grapalat" w:eastAsia="Times New Roman" w:hAnsi="GHEA Grapalat"/>
          <w:sz w:val="24"/>
          <w:szCs w:val="24"/>
          <w:lang w:val="hy-AM"/>
        </w:rPr>
        <w:t>ա</w:t>
      </w:r>
      <w:r w:rsidRPr="00286852">
        <w:rPr>
          <w:rFonts w:ascii="GHEA Grapalat" w:eastAsia="Times New Roman" w:hAnsi="GHEA Grapalat"/>
          <w:sz w:val="24"/>
          <w:szCs w:val="24"/>
          <w:lang w:val="hy-AM"/>
        </w:rPr>
        <w:t>վալենտ պատվաստանյութի կիրառումից հետո պատվաստանյութի մեջ չպարունակվող շճատիպերի նկատմամբ առաջացած խաչաձև անընկալության վերաբերյալ տվյալները բացակայում են:</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Մինչև պատվաստանյութի ներդրումը և ներդրո</w:t>
      </w:r>
      <w:r w:rsidR="0019670C" w:rsidRPr="00286852">
        <w:rPr>
          <w:rFonts w:ascii="GHEA Grapalat" w:eastAsia="Times New Roman" w:hAnsi="GHEA Grapalat"/>
          <w:sz w:val="24"/>
          <w:szCs w:val="24"/>
          <w:lang w:val="hy-AM"/>
        </w:rPr>
        <w:t>ւ</w:t>
      </w:r>
      <w:r w:rsidRPr="00286852">
        <w:rPr>
          <w:rFonts w:ascii="GHEA Grapalat" w:eastAsia="Times New Roman" w:hAnsi="GHEA Grapalat"/>
          <w:sz w:val="24"/>
          <w:szCs w:val="24"/>
          <w:lang w:val="hy-AM"/>
        </w:rPr>
        <w:t xml:space="preserve">մից հետո իրականացվել է ուսումնասիրություն ՄՊՎ վարակի այլ տիպերով վարակվածության վերաբերյալ: Հայտնաբերվել են խաչաձև անընկալության վերաբերյալ տվյալներ ՄՊՎ 31-ի և որոշ </w:t>
      </w:r>
      <w:r w:rsidR="0019670C" w:rsidRPr="00286852">
        <w:rPr>
          <w:rFonts w:ascii="GHEA Grapalat" w:eastAsia="Times New Roman" w:hAnsi="GHEA Grapalat"/>
          <w:sz w:val="24"/>
          <w:szCs w:val="24"/>
          <w:lang w:val="hy-AM"/>
        </w:rPr>
        <w:t>տ</w:t>
      </w:r>
      <w:r w:rsidRPr="00286852">
        <w:rPr>
          <w:rFonts w:ascii="GHEA Grapalat" w:eastAsia="Times New Roman" w:hAnsi="GHEA Grapalat"/>
          <w:sz w:val="24"/>
          <w:szCs w:val="24"/>
          <w:lang w:val="hy-AM"/>
        </w:rPr>
        <w:t>վյալներ ՄՊՎ  33  և 45 վերաբերյալ:</w:t>
      </w:r>
    </w:p>
    <w:p w:rsidR="00204E53" w:rsidRPr="00286852" w:rsidRDefault="00204E53" w:rsidP="00204E53">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Պաշտպանության տևողությունը</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երեք դեղաչափ սխեմայով քառավալենտ պատվաստանյութի օգտագործման դեպքում տասը տարվա ընթացքում պատվաստված դեռահասների շրջանում չի արձանագրվել արգանդի պարանոցի/ սեռական օրգանների  քաղցկեղի ոչ մի դեպք, պայմանավորված ՄՊՎ 6, 11, 16 և  18 տիպերով:</w:t>
      </w:r>
    </w:p>
    <w:p w:rsidR="00204E53" w:rsidRPr="00286852" w:rsidRDefault="0019670C"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Ե</w:t>
      </w:r>
      <w:r w:rsidR="00204E53" w:rsidRPr="00286852">
        <w:rPr>
          <w:rFonts w:ascii="GHEA Grapalat" w:eastAsia="Times New Roman" w:hAnsi="GHEA Grapalat"/>
          <w:sz w:val="24"/>
          <w:szCs w:val="24"/>
          <w:lang w:val="hy-AM"/>
        </w:rPr>
        <w:t>րեք դեղաչափ սխեմայով երկվալենտ պատվաստանյութի օգտագործման իմունոգենության և արդյունավետության արդյունքները ուսումնասիրվել են համապատասխանաբար 8,4  և 9,4 տարիների ընթացքում:</w:t>
      </w:r>
    </w:p>
    <w:p w:rsidR="00204E53" w:rsidRPr="00286852" w:rsidRDefault="0019670C"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Ե</w:t>
      </w:r>
      <w:r w:rsidR="00204E53" w:rsidRPr="00286852">
        <w:rPr>
          <w:rFonts w:ascii="GHEA Grapalat" w:eastAsia="Times New Roman" w:hAnsi="GHEA Grapalat"/>
          <w:sz w:val="24"/>
          <w:szCs w:val="24"/>
          <w:lang w:val="hy-AM"/>
        </w:rPr>
        <w:t>րեք դեղաչափ սխեմայով ինն</w:t>
      </w:r>
      <w:r w:rsidRPr="00286852">
        <w:rPr>
          <w:rFonts w:ascii="GHEA Grapalat" w:eastAsia="Times New Roman" w:hAnsi="GHEA Grapalat"/>
          <w:sz w:val="24"/>
          <w:szCs w:val="24"/>
          <w:lang w:val="hy-AM"/>
        </w:rPr>
        <w:t>ա</w:t>
      </w:r>
      <w:r w:rsidR="00204E53" w:rsidRPr="00286852">
        <w:rPr>
          <w:rFonts w:ascii="GHEA Grapalat" w:eastAsia="Times New Roman" w:hAnsi="GHEA Grapalat"/>
          <w:sz w:val="24"/>
          <w:szCs w:val="24"/>
          <w:lang w:val="hy-AM"/>
        </w:rPr>
        <w:t>վալենտ պատվաստանյութի օգտագործման արդյունքները իրականացվել են 5,6 տարվա ընթացքում:</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Երկու դեղաչափ սխեմայով դեռահաս աղջիկների շրջանում երկվալենտ և քառավալենտ պատվաստանյութի օգտագործումից հետո հակամարմինների մակարդակը նույնն էր, ինչ կանանց մոտ երեք դեղաչափ սխեմայով իրականացված պատվաստումներից հետո հինգ տարվա ընթացքում: Առայժմ հայտնի չի, թե արդյոք անհրաժեշտ կլինի կատարել կրկնապատվաստում առաջնային պատվաստումից տարիներ անց: ՈՒսումնասիրոթւյուններ</w:t>
      </w:r>
      <w:r w:rsidR="0019670C" w:rsidRPr="00286852">
        <w:rPr>
          <w:rFonts w:ascii="GHEA Grapalat" w:eastAsia="Times New Roman" w:hAnsi="GHEA Grapalat"/>
          <w:sz w:val="24"/>
          <w:szCs w:val="24"/>
          <w:lang w:val="hy-AM"/>
        </w:rPr>
        <w:t>ն</w:t>
      </w:r>
      <w:r w:rsidRPr="00286852">
        <w:rPr>
          <w:rFonts w:ascii="GHEA Grapalat" w:eastAsia="Times New Roman" w:hAnsi="GHEA Grapalat"/>
          <w:sz w:val="24"/>
          <w:szCs w:val="24"/>
          <w:lang w:val="hy-AM"/>
        </w:rPr>
        <w:t xml:space="preserve"> այս ժամանակահատվածում ցույց են տվել, որ չի արձանագրվել պաշտպանության իջեցում:</w:t>
      </w:r>
    </w:p>
    <w:p w:rsidR="00204E53" w:rsidRPr="00286852" w:rsidRDefault="00204E53" w:rsidP="00204E53">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lastRenderedPageBreak/>
        <w:t>Պատվաստանյութի անվտանգություն</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Պատվաստանյութերի անվտանգության ԱՀԿ Գլոբալ խորհրդատվական հանձնաժողով</w:t>
      </w:r>
      <w:r w:rsidR="0019670C" w:rsidRPr="00286852">
        <w:rPr>
          <w:rFonts w:ascii="GHEA Grapalat" w:eastAsia="Times New Roman" w:hAnsi="GHEA Grapalat"/>
          <w:sz w:val="24"/>
          <w:szCs w:val="24"/>
          <w:lang w:val="hy-AM"/>
        </w:rPr>
        <w:t>ը կանոնավոր ուսումնասիրում է ՄՊՎ-ի դեմ</w:t>
      </w:r>
      <w:r w:rsidRPr="00286852">
        <w:rPr>
          <w:rFonts w:ascii="GHEA Grapalat" w:eastAsia="Times New Roman" w:hAnsi="GHEA Grapalat"/>
          <w:sz w:val="24"/>
          <w:szCs w:val="24"/>
          <w:lang w:val="hy-AM"/>
        </w:rPr>
        <w:t xml:space="preserve"> պատվաստանյութի անվտանգության վերաբերյալ տվյալները: Հանձնաժողովը ուսումնասիրել է ԱՄՆ-ի, Ավստրալիայի, Ճապոնիայի և այլ երկրների համաճարակաբանական հսկողության արդյունքները, ինչպես նաև արտադրողների տվյալները, քանի որ առաջացել էր որոշակի անհանգստություն: Բոլոր աղբյուրների տվյալները դրական են երեք պատվաստանյութերի անվտանգության առումով: Հանձնաժողովը նշում է, որ եթե ընդունվում է ինչ որ որոշում արդյունավետ և անվտանգ պատվաստանյութերի օգտագործման սահմանափակման վերաբերյալ անվստահելի տվյալների հիման վրա, դա կարող է զգալի վնաս հասցնել: 2016թ. Պատվաստանյութերի անվտանգության ԱՀԿ Գլոբալ խորհրդատվական հանձնաժողովը եկավ այն եզրակացության, որ ա</w:t>
      </w:r>
      <w:r w:rsidR="0019670C" w:rsidRPr="00286852">
        <w:rPr>
          <w:rFonts w:ascii="GHEA Grapalat" w:eastAsia="Times New Roman" w:hAnsi="GHEA Grapalat"/>
          <w:sz w:val="24"/>
          <w:szCs w:val="24"/>
          <w:lang w:val="hy-AM"/>
        </w:rPr>
        <w:t>ռկա տվյալները վկայում են, որ ՄՊՎ-ի դեմ</w:t>
      </w:r>
      <w:r w:rsidRPr="00286852">
        <w:rPr>
          <w:rFonts w:ascii="GHEA Grapalat" w:eastAsia="Times New Roman" w:hAnsi="GHEA Grapalat"/>
          <w:sz w:val="24"/>
          <w:szCs w:val="24"/>
          <w:lang w:val="hy-AM"/>
        </w:rPr>
        <w:t xml:space="preserve"> պատվաստանյութերն անվտանգ են:</w:t>
      </w:r>
    </w:p>
    <w:p w:rsidR="00204E53" w:rsidRPr="00286852" w:rsidRDefault="00204E53" w:rsidP="00204E53">
      <w:pPr>
        <w:spacing w:line="360" w:lineRule="auto"/>
        <w:jc w:val="both"/>
        <w:rPr>
          <w:rFonts w:ascii="GHEA Grapalat" w:eastAsia="Times New Roman" w:hAnsi="GHEA Grapalat"/>
          <w:i/>
          <w:sz w:val="24"/>
          <w:szCs w:val="24"/>
          <w:lang w:val="hy-AM"/>
        </w:rPr>
      </w:pPr>
      <w:r w:rsidRPr="00286852">
        <w:rPr>
          <w:rFonts w:ascii="GHEA Grapalat" w:eastAsia="Times New Roman" w:hAnsi="GHEA Grapalat"/>
          <w:i/>
          <w:sz w:val="24"/>
          <w:szCs w:val="24"/>
          <w:lang w:val="hy-AM"/>
        </w:rPr>
        <w:t>ՏԵղային ռեակցիաներ</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Առավել հաճախ դիտվում է ցավ ներարկման ժամանակ</w:t>
      </w:r>
      <w:r w:rsidR="0019670C"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 քան ներարկումից ժամեր և օրեր հետո: Մինչև քառավալենտ պատվաստանյութի արտոնագրումը իրականացված ուսումնասիրությունների ժամանակ արձանագրված տեղային ռեակցիաներն են` ցավ ներարկման տեղում (84%), կարմրություն(&lt;25%) և այտուց(25%), ընդ որում ցավը ավելի հաճախ է հանդիպում, քան պլացեբո խմբում:  18-45տարեկան 1000 կանանց մոտ տեղային ռեակցիաներ ավելի հաճախ դիտվել են երկվալենտ պատվաստանյութից, քան քառավալենտ: Ռեակցիաներ ներարկման տեղում` ցավ (92.9% - երկվալենտ, 71.6% - քառավալենտ), կարմրություն (44.3% - երկվալենտ,, 25.6%- քառավալենտ), այտուց(36.5% -երկվալետ, 21.8% -քառավալենտ): Ուժեղ ցավ արձանագրվել է պատվաստվածների 6%-ի մոտ:</w:t>
      </w:r>
    </w:p>
    <w:p w:rsidR="00204E53" w:rsidRPr="00286852" w:rsidRDefault="00204E53" w:rsidP="00204E53">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Ինն</w:t>
      </w:r>
      <w:r w:rsidR="0019670C" w:rsidRPr="00286852">
        <w:rPr>
          <w:rFonts w:ascii="GHEA Grapalat" w:eastAsia="Times New Roman" w:hAnsi="GHEA Grapalat"/>
          <w:sz w:val="24"/>
          <w:szCs w:val="24"/>
          <w:lang w:val="hy-AM"/>
        </w:rPr>
        <w:t>ա</w:t>
      </w:r>
      <w:r w:rsidRPr="00286852">
        <w:rPr>
          <w:rFonts w:ascii="GHEA Grapalat" w:eastAsia="Times New Roman" w:hAnsi="GHEA Grapalat"/>
          <w:sz w:val="24"/>
          <w:szCs w:val="24"/>
          <w:lang w:val="hy-AM"/>
        </w:rPr>
        <w:t>վալենտ պատվաստանյութի կիրառման դեպքում հիմնական կողմնակի երևույթները եղել են ցավ ներարկման տեղում, չափավոր այտուց և կարմրություն: Քառավալենտ և ինն</w:t>
      </w:r>
      <w:r w:rsidR="0019670C" w:rsidRPr="00286852">
        <w:rPr>
          <w:rFonts w:ascii="GHEA Grapalat" w:eastAsia="Times New Roman" w:hAnsi="GHEA Grapalat"/>
          <w:sz w:val="24"/>
          <w:szCs w:val="24"/>
          <w:lang w:val="hy-AM"/>
        </w:rPr>
        <w:t>ա</w:t>
      </w:r>
      <w:r w:rsidRPr="00286852">
        <w:rPr>
          <w:rFonts w:ascii="GHEA Grapalat" w:eastAsia="Times New Roman" w:hAnsi="GHEA Grapalat"/>
          <w:sz w:val="24"/>
          <w:szCs w:val="24"/>
          <w:lang w:val="hy-AM"/>
        </w:rPr>
        <w:t>վալենտ պատվաստումների կողմնակի երևույթների համեմատությունը ցույց է տալիս, որ ինն</w:t>
      </w:r>
      <w:r w:rsidR="0019670C" w:rsidRPr="00286852">
        <w:rPr>
          <w:rFonts w:ascii="GHEA Grapalat" w:eastAsia="Times New Roman" w:hAnsi="GHEA Grapalat"/>
          <w:sz w:val="24"/>
          <w:szCs w:val="24"/>
          <w:lang w:val="hy-AM"/>
        </w:rPr>
        <w:t>ա</w:t>
      </w:r>
      <w:r w:rsidRPr="00286852">
        <w:rPr>
          <w:rFonts w:ascii="GHEA Grapalat" w:eastAsia="Times New Roman" w:hAnsi="GHEA Grapalat"/>
          <w:sz w:val="24"/>
          <w:szCs w:val="24"/>
          <w:lang w:val="hy-AM"/>
        </w:rPr>
        <w:t xml:space="preserve">վալենտի դեպքում մի փոքր ավել են (90.7% 84.9%-ի դեմ): 9-15 տարեկան աղջիկների շրջանում ներարկման տեղում ցավը, այտուցը և կարմրությունը </w:t>
      </w:r>
      <w:r w:rsidRPr="00286852">
        <w:rPr>
          <w:rFonts w:ascii="GHEA Grapalat" w:eastAsia="Times New Roman" w:hAnsi="GHEA Grapalat"/>
          <w:sz w:val="24"/>
          <w:szCs w:val="24"/>
          <w:lang w:val="hy-AM"/>
        </w:rPr>
        <w:lastRenderedPageBreak/>
        <w:t xml:space="preserve">համապատասխանաբար կազմել են 89.3, 47.8 и 34.1%:  9-15 տարեկան տղաների </w:t>
      </w:r>
      <w:r w:rsidR="0019670C" w:rsidRPr="00286852">
        <w:rPr>
          <w:rFonts w:ascii="GHEA Grapalat" w:eastAsia="Times New Roman" w:hAnsi="GHEA Grapalat"/>
          <w:sz w:val="24"/>
          <w:szCs w:val="24"/>
          <w:lang w:val="hy-AM"/>
        </w:rPr>
        <w:t xml:space="preserve">մոտ այս թվերն ավելի ցածր են`   </w:t>
      </w:r>
      <w:r w:rsidRPr="00286852">
        <w:rPr>
          <w:rFonts w:ascii="GHEA Grapalat" w:eastAsia="Times New Roman" w:hAnsi="GHEA Grapalat"/>
          <w:sz w:val="24"/>
          <w:szCs w:val="24"/>
          <w:lang w:val="hy-AM"/>
        </w:rPr>
        <w:t xml:space="preserve">71.5, </w:t>
      </w:r>
      <w:r w:rsidR="0019670C"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26.9</w:t>
      </w:r>
      <w:r w:rsidR="0019670C" w:rsidRPr="00286852">
        <w:rPr>
          <w:rFonts w:ascii="GHEA Grapalat" w:eastAsia="Times New Roman" w:hAnsi="GHEA Grapalat"/>
          <w:sz w:val="24"/>
          <w:szCs w:val="24"/>
          <w:lang w:val="hy-AM"/>
        </w:rPr>
        <w:t xml:space="preserve"> </w:t>
      </w:r>
      <w:r w:rsidRPr="00286852">
        <w:rPr>
          <w:rFonts w:ascii="GHEA Grapalat" w:eastAsia="Times New Roman" w:hAnsi="GHEA Grapalat"/>
          <w:sz w:val="24"/>
          <w:szCs w:val="24"/>
          <w:lang w:val="hy-AM"/>
        </w:rPr>
        <w:t xml:space="preserve"> </w:t>
      </w:r>
      <w:r w:rsidR="0019670C" w:rsidRPr="00286852">
        <w:rPr>
          <w:rFonts w:ascii="Sylfaen" w:eastAsia="Times New Roman" w:hAnsi="Sylfaen"/>
          <w:sz w:val="24"/>
          <w:szCs w:val="24"/>
          <w:lang w:val="hy-AM"/>
        </w:rPr>
        <w:t>և</w:t>
      </w:r>
      <w:r w:rsidRPr="00286852">
        <w:rPr>
          <w:rFonts w:ascii="GHEA Grapalat" w:eastAsia="Times New Roman" w:hAnsi="GHEA Grapalat"/>
          <w:sz w:val="24"/>
          <w:szCs w:val="24"/>
          <w:lang w:val="hy-AM"/>
        </w:rPr>
        <w:t xml:space="preserve"> 24.9%:</w:t>
      </w:r>
    </w:p>
    <w:p w:rsidR="00204E53" w:rsidRPr="00286852" w:rsidRDefault="00204E53" w:rsidP="00421CB1">
      <w:pPr>
        <w:spacing w:after="0" w:line="360" w:lineRule="auto"/>
        <w:jc w:val="both"/>
        <w:rPr>
          <w:rFonts w:ascii="GHEA Grapalat" w:eastAsia="Times New Roman" w:hAnsi="GHEA Grapalat"/>
          <w:sz w:val="24"/>
          <w:szCs w:val="24"/>
          <w:lang w:val="hy-AM"/>
        </w:rPr>
      </w:pPr>
      <w:r w:rsidRPr="00286852">
        <w:rPr>
          <w:rFonts w:ascii="GHEA Grapalat" w:eastAsia="Times New Roman" w:hAnsi="GHEA Grapalat"/>
          <w:i/>
          <w:sz w:val="24"/>
          <w:szCs w:val="24"/>
          <w:lang w:val="hy-AM"/>
        </w:rPr>
        <w:t>Ընդհանուր ռեակցիաներ</w:t>
      </w:r>
      <w:r w:rsidRPr="00286852">
        <w:rPr>
          <w:rFonts w:ascii="GHEA Grapalat" w:eastAsia="Times New Roman" w:hAnsi="GHEA Grapalat"/>
          <w:sz w:val="24"/>
          <w:szCs w:val="24"/>
          <w:lang w:val="hy-AM"/>
        </w:rPr>
        <w:t>.  Քառավալենտ պատվաստանյութի կլինիկական հետազոտությունների ժամանակ որպես ընդհանուր կողմնակի երևույթ արձանագրվել է միայն ջերմության բարձրացում, որը դիտվել է պատվաստվածների  &lt;10%-ի մոտ, և ավելի հաճախ, քան պլացեբո խմբում (համապատասխանաբար 10.1 и 8.4%): Դիտվել են պատվաստման հետ կապված թեթև ընդհանուր կողմնակի երևույթներ, ինչպիսիք են թեթև գլխացավ, գլխապտույտ, մկանացավ, հոդացավ, սրտխառնոց, փսխում, ցավ որովայնում:</w:t>
      </w:r>
    </w:p>
    <w:p w:rsidR="00421CB1" w:rsidRPr="00286852" w:rsidRDefault="00421CB1" w:rsidP="00421CB1">
      <w:pPr>
        <w:spacing w:after="0" w:line="360" w:lineRule="auto"/>
        <w:ind w:left="1"/>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Երկվալենտ և քառավալենտ պատվաստանյութերի ուղղակի համեմատությունը ցույց տվեց, որ համակարգային անբարեհաջող դեպքերը հաղորդվել են նույն հաճախականությամբ, բացառությամբ հոգնածության, որը համապատասխանաբար հայտնաբերվել է  49,8% դեպքերում 39,8%-ի դիմաց, և մկանացավերի, որն արձանագրվել է  27,6%-ի մոտ՝ 19,6%-ի դիմաց: </w:t>
      </w:r>
    </w:p>
    <w:p w:rsidR="00421CB1" w:rsidRPr="00286852" w:rsidRDefault="00421CB1" w:rsidP="00421CB1">
      <w:pPr>
        <w:tabs>
          <w:tab w:val="left" w:pos="135"/>
        </w:tabs>
        <w:spacing w:line="360" w:lineRule="auto"/>
        <w:ind w:left="1" w:right="20"/>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Այնպիսի համակարգային անբարեհաջող դեպքերի հաճախականությունը, ինչպիսիք են գլխացավըբարձր ջերմությունը, սրտխառնոցը և հոգնածությունը, համարյա նույնն է իննավալենտ և քառավալենտ </w:t>
      </w:r>
      <w:r w:rsidRPr="00286852">
        <w:rPr>
          <w:rFonts w:ascii="GHEA Grapalat" w:eastAsia="Times New Roman" w:hAnsi="GHEA Grapalat"/>
          <w:sz w:val="24"/>
          <w:szCs w:val="24"/>
          <w:lang w:val="hy-AM"/>
        </w:rPr>
        <w:lastRenderedPageBreak/>
        <w:t>պատվաստանյութերի համար (55,8% իննավալենտի դեպքում և 54,9% քառավալենտի դեպքում):</w:t>
      </w:r>
      <w:r w:rsidRPr="00286852">
        <w:rPr>
          <w:rFonts w:ascii="GHEA Grapalat" w:eastAsia="Times New Roman" w:hAnsi="GHEA Grapalat"/>
          <w:sz w:val="16"/>
          <w:szCs w:val="16"/>
          <w:vertAlign w:val="superscript"/>
          <w:lang w:val="hy-AM"/>
        </w:rPr>
        <w:t>59</w:t>
      </w:r>
    </w:p>
    <w:p w:rsidR="00421CB1" w:rsidRPr="00286852" w:rsidRDefault="00421CB1" w:rsidP="00421CB1">
      <w:pPr>
        <w:spacing w:line="360" w:lineRule="auto"/>
        <w:ind w:left="1" w:right="20"/>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Պատվաստանյութի կիրառումից հետո կատարված դիտարկումները ցույց են տվել, որ հաղորդվող համակարգային</w:t>
      </w:r>
      <w:r w:rsidRPr="00286852">
        <w:rPr>
          <w:rFonts w:ascii="Times New Roman" w:eastAsia="Times New Roman" w:hAnsi="Times New Roman"/>
          <w:sz w:val="19"/>
          <w:lang w:val="hy-AM"/>
        </w:rPr>
        <w:t xml:space="preserve">  </w:t>
      </w:r>
      <w:r w:rsidRPr="00286852">
        <w:rPr>
          <w:rFonts w:ascii="GHEA Grapalat" w:eastAsia="Times New Roman" w:hAnsi="GHEA Grapalat"/>
          <w:sz w:val="24"/>
          <w:szCs w:val="24"/>
          <w:lang w:val="hy-AM"/>
        </w:rPr>
        <w:t xml:space="preserve">անբարեհաջող դեպքերը սովորաբար թեթև են և ինքնուրույն անցնում են: Ինչպես շատ պատվաստանյութերի դեպքում, կարող է լինել հետպատվաստումային ուշագնացություն, սակայն կարելի է սահմանափակել դրանց հաճախականությունը և խուսափել դրա հետ կապված բարդություններից: ՄՊՎ պատվաստանյութից կարող են լինել անհանգստության ռեակցիաների կլաստերներ, որը կարող է ազդել իմունականխարգելման գործընթացի վրա:   </w:t>
      </w:r>
    </w:p>
    <w:p w:rsidR="00421CB1" w:rsidRPr="00286852" w:rsidRDefault="00421CB1" w:rsidP="00421CB1">
      <w:pPr>
        <w:spacing w:line="360" w:lineRule="auto"/>
        <w:ind w:left="1" w:right="20"/>
        <w:jc w:val="both"/>
        <w:rPr>
          <w:rFonts w:ascii="Times New Roman" w:eastAsia="Times New Roman" w:hAnsi="Times New Roman"/>
          <w:sz w:val="18"/>
          <w:lang w:val="hy-AM"/>
        </w:rPr>
      </w:pPr>
      <w:r w:rsidRPr="00286852">
        <w:rPr>
          <w:rFonts w:ascii="GHEA Grapalat" w:eastAsia="Times New Roman" w:hAnsi="GHEA Grapalat"/>
          <w:sz w:val="24"/>
          <w:szCs w:val="24"/>
          <w:lang w:val="hy-AM"/>
        </w:rPr>
        <w:t>Նախնական թեստերում քառավալենտ կամ երկվալենտ պատվաստանյութից լուրջ անբարեհաջող դեպքեր չեն եղել:115 Իննավալենտ պատվաստանյութից լուրջ անբարեհաջող դեպքերը եղել են &lt;0,1%</w:t>
      </w:r>
      <w:r w:rsidRPr="00286852">
        <w:rPr>
          <w:rFonts w:ascii="Times New Roman" w:eastAsia="Times New Roman" w:hAnsi="Times New Roman"/>
          <w:sz w:val="18"/>
          <w:lang w:val="hy-AM"/>
        </w:rPr>
        <w:t>:</w:t>
      </w:r>
      <w:r w:rsidRPr="00286852">
        <w:rPr>
          <w:rFonts w:ascii="Times New Roman" w:eastAsia="Times New Roman" w:hAnsi="Times New Roman"/>
          <w:sz w:val="11"/>
          <w:lang w:val="hy-AM"/>
        </w:rPr>
        <w:t>116</w:t>
      </w:r>
      <w:r w:rsidRPr="00286852">
        <w:rPr>
          <w:rFonts w:ascii="Times New Roman" w:eastAsia="Times New Roman" w:hAnsi="Times New Roman"/>
          <w:sz w:val="18"/>
          <w:lang w:val="hy-AM"/>
        </w:rPr>
        <w:t xml:space="preserve"> </w:t>
      </w:r>
      <w:r w:rsidRPr="00286852">
        <w:rPr>
          <w:rFonts w:ascii="GHEA Grapalat" w:eastAsia="Times New Roman" w:hAnsi="GHEA Grapalat"/>
          <w:sz w:val="24"/>
          <w:szCs w:val="24"/>
          <w:lang w:val="hy-AM"/>
        </w:rPr>
        <w:t>Իննավալենտ և քառավալենտ պատվաստանյութերի համեմատությունը ցույց է տվել, որ այդ պատվաստանյութերի հետ կապված լուրջ անբարեհաջող դեպքերի հաճախականությունը կազմել է համապատասխանաբար 0,4% և 0,2%:</w:t>
      </w:r>
      <w:r w:rsidRPr="00286852">
        <w:rPr>
          <w:rFonts w:ascii="Times New Roman" w:eastAsia="Times New Roman" w:hAnsi="Times New Roman"/>
          <w:sz w:val="11"/>
          <w:lang w:val="hy-AM"/>
        </w:rPr>
        <w:t>59</w:t>
      </w:r>
      <w:r w:rsidRPr="00286852">
        <w:rPr>
          <w:rFonts w:ascii="Times New Roman" w:eastAsia="Times New Roman" w:hAnsi="Times New Roman"/>
          <w:sz w:val="18"/>
          <w:lang w:val="hy-AM"/>
        </w:rPr>
        <w:t xml:space="preserve"> </w:t>
      </w:r>
      <w:r w:rsidRPr="00286852">
        <w:rPr>
          <w:rFonts w:ascii="GHEA Grapalat" w:eastAsia="Times New Roman" w:hAnsi="GHEA Grapalat"/>
          <w:sz w:val="24"/>
          <w:szCs w:val="24"/>
          <w:lang w:val="hy-AM"/>
        </w:rPr>
        <w:t xml:space="preserve">Արտոնագրումից հետո կատարված կլինիկական հետազոտությունները 18-ից </w:t>
      </w:r>
      <w:r w:rsidRPr="00286852">
        <w:rPr>
          <w:rFonts w:ascii="GHEA Grapalat" w:eastAsia="Times New Roman" w:hAnsi="GHEA Grapalat"/>
          <w:sz w:val="24"/>
          <w:szCs w:val="24"/>
          <w:lang w:val="hy-AM"/>
        </w:rPr>
        <w:lastRenderedPageBreak/>
        <w:t>45 տարեկան կանանց մոտ քառավալենտ և երկվալենտ պատվաստանյութերի անվտանգության ուսումնասիրության նպատակով պատվաստված խմբերի միջև էական կլինիկական տարբերություններ չեն հայտնաբերել նոր քրոնիկ հիվանդությունների՝ առաջացման տեսակետից, ներառյալ նոր աուտոիմուն հիվանդությունները:</w:t>
      </w:r>
      <w:r w:rsidRPr="00286852">
        <w:rPr>
          <w:rFonts w:ascii="Times New Roman" w:eastAsia="Times New Roman" w:hAnsi="Times New Roman"/>
          <w:sz w:val="18"/>
          <w:lang w:val="hy-AM"/>
        </w:rPr>
        <w:t xml:space="preserve">  </w:t>
      </w:r>
    </w:p>
    <w:p w:rsidR="00421CB1" w:rsidRPr="00286852" w:rsidRDefault="00421CB1" w:rsidP="00421CB1">
      <w:pPr>
        <w:spacing w:after="0"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Չնայած տարբեր քրոնիկ վիճակները, ներառյալ աուտոիմուն հիվանդությունները, կապվել են պատվաստման հետ այդ դեպքերի մասին հաղորդման հետևանքով, սակայն, արտոնագրումից հետո բնակչության առողջության պատշաճ ձևով կատարված մշտադիտարկումները ոչ մի կապ չեն հայտնաբերել ՄՊՎ-ի դեմ պատվաստանյութերի և այդ վիճակների միջև: Տվյալները վճռականորեն ցույց են տալիս, որ ՄՊՎ-ի դեմ պատվաստանյութը չի բարձրացնում Գիյեն-Բարրի սինդրոմի հավանականությունը:</w:t>
      </w:r>
      <w:r w:rsidRPr="00286852">
        <w:rPr>
          <w:rFonts w:ascii="Arial" w:eastAsia="Arial" w:hAnsi="Arial"/>
          <w:sz w:val="12"/>
          <w:vertAlign w:val="superscript"/>
          <w:lang w:val="hy-AM"/>
        </w:rPr>
        <w:t>117</w:t>
      </w:r>
      <w:r w:rsidRPr="00286852">
        <w:rPr>
          <w:rFonts w:ascii="GHEA Grapalat" w:eastAsia="Times New Roman" w:hAnsi="GHEA Grapalat"/>
          <w:sz w:val="24"/>
          <w:szCs w:val="24"/>
          <w:lang w:val="hy-AM"/>
        </w:rPr>
        <w:t xml:space="preserve"> Երկվալենտ պատվաստանյութի պլանային կիրառումից ավելի քան 4 տարի հետո կատարված անվտանգության մշտադիտարկման տվյալների ուսումնասիրությունը պատվաստումով պայմանավորված դեպքերի առաջացման ոչ մի վտանգ չի հայտնաբերել, Բելլի կաթվածի և Գիյեն-Բարրեի համախտանիշի հաստատված դեպքերը ամբողջազգաբնակչության շրջանում եղել են ակնկալվող մակարդակում:</w:t>
      </w:r>
      <w:r w:rsidRPr="00286852">
        <w:rPr>
          <w:rFonts w:ascii="Arial" w:eastAsia="Arial" w:hAnsi="Arial"/>
          <w:sz w:val="11"/>
          <w:vertAlign w:val="superscript"/>
          <w:lang w:val="hy-AM"/>
        </w:rPr>
        <w:t>118</w:t>
      </w:r>
    </w:p>
    <w:p w:rsidR="00421CB1" w:rsidRPr="00286852" w:rsidRDefault="00421CB1" w:rsidP="00421CB1">
      <w:pPr>
        <w:spacing w:after="0" w:line="360" w:lineRule="auto"/>
        <w:ind w:left="1" w:right="20"/>
        <w:jc w:val="both"/>
        <w:rPr>
          <w:rFonts w:ascii="Times New Roman" w:eastAsia="Times New Roman" w:hAnsi="Times New Roman"/>
          <w:sz w:val="11"/>
          <w:lang w:val="hy-AM"/>
        </w:rPr>
      </w:pPr>
      <w:r w:rsidRPr="00286852">
        <w:rPr>
          <w:rFonts w:ascii="GHEA Grapalat" w:eastAsia="Times New Roman" w:hAnsi="GHEA Grapalat"/>
          <w:sz w:val="24"/>
          <w:szCs w:val="24"/>
          <w:lang w:val="hy-AM"/>
        </w:rPr>
        <w:lastRenderedPageBreak/>
        <w:t>Անհանգստություն էր առաջացել կապված ՄՊՎ-ի դեմ պատվաստումից հետո ռեգիոնալ ցավային համախտանիշի համալիրի (ՑՌՀՀ կամ SDRC) և դիրքային օրթոստատիկ հաճախասրտության համախտանիշի դեպքերի (STOP) հետ: Չնայած այս 2 վիճակների ախտորոշման դժվարություններին, մինչև արտոնագրումը և արտոնագրումից հետոկատարված ուսումնասիրությունները այդ համախտանիշերի և ՄՊՎ-ի դեմ պատվաստման միջև ուղղակի կապի առկայության վերաբերյալ ոչ մի ապացույց չեն գտել</w:t>
      </w:r>
      <w:bookmarkStart w:id="1" w:name="page22"/>
      <w:bookmarkEnd w:id="1"/>
      <w:r w:rsidRPr="00286852">
        <w:rPr>
          <w:rFonts w:ascii="GHEA Grapalat" w:eastAsia="Times New Roman" w:hAnsi="GHEA Grapalat"/>
          <w:sz w:val="24"/>
          <w:szCs w:val="24"/>
          <w:lang w:val="hy-AM"/>
        </w:rPr>
        <w:t>:</w:t>
      </w:r>
      <w:r w:rsidRPr="00286852">
        <w:rPr>
          <w:rFonts w:ascii="Times New Roman" w:eastAsia="Times New Roman" w:hAnsi="Times New Roman"/>
          <w:sz w:val="11"/>
          <w:lang w:val="hy-AM"/>
        </w:rPr>
        <w:t>112</w:t>
      </w:r>
    </w:p>
    <w:p w:rsidR="00421CB1" w:rsidRPr="00286852" w:rsidRDefault="00421CB1" w:rsidP="009F2A40">
      <w:pPr>
        <w:spacing w:line="360" w:lineRule="auto"/>
        <w:ind w:right="20"/>
        <w:jc w:val="both"/>
        <w:rPr>
          <w:rFonts w:ascii="GHEA Grapalat" w:eastAsia="Times New Roman" w:hAnsi="GHEA Grapalat"/>
          <w:i/>
          <w:sz w:val="24"/>
          <w:szCs w:val="24"/>
          <w:lang w:val="hy-AM"/>
        </w:rPr>
      </w:pPr>
      <w:r w:rsidRPr="00286852">
        <w:rPr>
          <w:rFonts w:ascii="GHEA Grapalat" w:eastAsia="Times New Roman" w:hAnsi="GHEA Grapalat"/>
          <w:sz w:val="24"/>
          <w:szCs w:val="24"/>
          <w:lang w:val="hy-AM"/>
        </w:rPr>
        <w:t>Մինչև 9 տարեկան երեխաների մոտ ՄՊՎ-ի դեմ պատվաստանյութի անվտանգությունը դեռևս չի պարզվել:</w:t>
      </w:r>
    </w:p>
    <w:p w:rsidR="00421CB1" w:rsidRPr="00286852" w:rsidRDefault="00421CB1" w:rsidP="009F2A40">
      <w:pPr>
        <w:spacing w:line="360" w:lineRule="auto"/>
        <w:ind w:right="20"/>
        <w:jc w:val="both"/>
        <w:rPr>
          <w:rFonts w:ascii="Times New Roman" w:eastAsia="Times New Roman" w:hAnsi="Times New Roman"/>
          <w:sz w:val="11"/>
          <w:lang w:val="hy-AM"/>
        </w:rPr>
      </w:pPr>
      <w:r w:rsidRPr="00286852">
        <w:rPr>
          <w:rFonts w:ascii="GHEA Grapalat" w:eastAsia="Times New Roman" w:hAnsi="GHEA Grapalat"/>
          <w:i/>
          <w:sz w:val="24"/>
          <w:szCs w:val="24"/>
          <w:lang w:val="hy-AM"/>
        </w:rPr>
        <w:t xml:space="preserve">Հղիություն: </w:t>
      </w:r>
      <w:r w:rsidRPr="00286852">
        <w:rPr>
          <w:rFonts w:ascii="GHEA Grapalat" w:eastAsia="Times New Roman" w:hAnsi="GHEA Grapalat"/>
          <w:sz w:val="24"/>
          <w:szCs w:val="24"/>
          <w:lang w:val="hy-AM"/>
        </w:rPr>
        <w:t>հղիների մոտ պատվաստանյութի ազդեցության վերաբերյալ հետազոտությունների բացակայության պատճառով խորհուրդ չի տրվում ՄՊՎ-ի դեմ կանխարգելիչ պատվաստում կատարել հղիության շրջանում:</w:t>
      </w:r>
      <w:r w:rsidRPr="00286852">
        <w:rPr>
          <w:rFonts w:ascii="Times New Roman" w:eastAsia="Times New Roman" w:hAnsi="Times New Roman"/>
          <w:sz w:val="19"/>
          <w:lang w:val="hy-AM"/>
        </w:rPr>
        <w:t xml:space="preserve"> </w:t>
      </w:r>
      <w:r w:rsidRPr="00286852">
        <w:rPr>
          <w:rFonts w:ascii="GHEA Grapalat" w:eastAsia="Times New Roman" w:hAnsi="GHEA Grapalat"/>
          <w:sz w:val="24"/>
          <w:szCs w:val="24"/>
          <w:lang w:val="hy-AM"/>
        </w:rPr>
        <w:t>Այնուամենայնիվ, առկա են որոշ տեղեկություններ, դրանք այն կանանց տվյալներն են, որոնք պատահաբար պատվաստվել են հղիության ընթացքում և հայտնի է նրանց հղիության ելքը, ինչպես նաեւ հղիության ռեգիստրներից ստացված տվյալները</w:t>
      </w:r>
      <w:r w:rsidRPr="00286852">
        <w:rPr>
          <w:rFonts w:ascii="GHEA Grapalat" w:eastAsia="Arial" w:hAnsi="GHEA Grapalat"/>
          <w:sz w:val="24"/>
          <w:szCs w:val="24"/>
          <w:lang w:val="hy-AM"/>
        </w:rPr>
        <w:t xml:space="preserve">: ՄՊՎ-ի դեմ 3 </w:t>
      </w:r>
      <w:r w:rsidRPr="00286852">
        <w:rPr>
          <w:rFonts w:ascii="GHEA Grapalat" w:eastAsia="Arial" w:hAnsi="GHEA Grapalat" w:cs="Sylfaen"/>
          <w:sz w:val="24"/>
          <w:szCs w:val="24"/>
          <w:lang w:val="hy-AM"/>
        </w:rPr>
        <w:t>պատվաստանյութերից</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որևէ</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 xml:space="preserve">մեկը </w:t>
      </w:r>
      <w:r w:rsidRPr="00286852">
        <w:rPr>
          <w:rFonts w:ascii="GHEA Grapalat" w:eastAsia="Arial" w:hAnsi="GHEA Grapalat" w:cs="Sylfaen"/>
          <w:sz w:val="24"/>
          <w:szCs w:val="24"/>
          <w:lang w:val="hy-AM"/>
        </w:rPr>
        <w:lastRenderedPageBreak/>
        <w:t>ստացած հղիների մոտ հղիության</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ելքի</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կամ</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պտղի</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զարգացման</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անվտանգության</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վերաբերյալ</w:t>
      </w:r>
      <w:r w:rsidRPr="00286852">
        <w:rPr>
          <w:rFonts w:ascii="GHEA Grapalat" w:eastAsia="Arial" w:hAnsi="GHEA Grapalat"/>
          <w:sz w:val="24"/>
          <w:szCs w:val="24"/>
          <w:lang w:val="hy-AM"/>
        </w:rPr>
        <w:t xml:space="preserve"> որևէ </w:t>
      </w:r>
      <w:r w:rsidRPr="00286852">
        <w:rPr>
          <w:rFonts w:ascii="GHEA Grapalat" w:eastAsia="Arial" w:hAnsi="GHEA Grapalat" w:cs="Sylfaen"/>
          <w:sz w:val="24"/>
          <w:szCs w:val="24"/>
          <w:lang w:val="hy-AM"/>
        </w:rPr>
        <w:t>խնդիր</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չի</w:t>
      </w:r>
      <w:r w:rsidRPr="00286852">
        <w:rPr>
          <w:rFonts w:ascii="GHEA Grapalat" w:eastAsia="Arial" w:hAnsi="GHEA Grapalat"/>
          <w:sz w:val="24"/>
          <w:szCs w:val="24"/>
          <w:lang w:val="hy-AM"/>
        </w:rPr>
        <w:t xml:space="preserve"> </w:t>
      </w:r>
      <w:r w:rsidRPr="00286852">
        <w:rPr>
          <w:rFonts w:ascii="GHEA Grapalat" w:eastAsia="Arial" w:hAnsi="GHEA Grapalat" w:cs="Sylfaen"/>
          <w:sz w:val="24"/>
          <w:szCs w:val="24"/>
          <w:lang w:val="hy-AM"/>
        </w:rPr>
        <w:t>հայտնաբերվել:</w:t>
      </w:r>
      <w:r w:rsidRPr="00286852">
        <w:rPr>
          <w:rFonts w:ascii="GHEA Grapalat" w:eastAsia="Arial" w:hAnsi="GHEA Grapalat"/>
          <w:sz w:val="24"/>
          <w:szCs w:val="24"/>
          <w:lang w:val="hy-AM"/>
        </w:rPr>
        <w:t xml:space="preserve"> </w:t>
      </w:r>
      <w:r w:rsidRPr="00286852">
        <w:rPr>
          <w:rFonts w:ascii="Times New Roman" w:eastAsia="Times New Roman" w:hAnsi="Times New Roman"/>
          <w:sz w:val="11"/>
          <w:lang w:val="hy-AM"/>
        </w:rPr>
        <w:t>119, 120, 59, 121</w:t>
      </w:r>
    </w:p>
    <w:p w:rsidR="00421CB1" w:rsidRPr="00286852" w:rsidRDefault="00421CB1" w:rsidP="009F2A40">
      <w:pPr>
        <w:spacing w:line="360" w:lineRule="auto"/>
        <w:rPr>
          <w:rFonts w:ascii="Times New Roman" w:eastAsia="Times New Roman" w:hAnsi="Times New Roman"/>
          <w:lang w:val="hy-AM"/>
        </w:rPr>
      </w:pPr>
    </w:p>
    <w:p w:rsidR="00421CB1" w:rsidRPr="00286852" w:rsidRDefault="00421CB1" w:rsidP="009F2A40">
      <w:pPr>
        <w:spacing w:line="360" w:lineRule="auto"/>
        <w:jc w:val="both"/>
        <w:rPr>
          <w:rFonts w:ascii="GHEA Grapalat" w:eastAsia="Times New Roman" w:hAnsi="GHEA Grapalat"/>
          <w:sz w:val="16"/>
          <w:szCs w:val="16"/>
          <w:vertAlign w:val="superscript"/>
          <w:lang w:val="hy-AM"/>
        </w:rPr>
      </w:pPr>
      <w:r w:rsidRPr="00286852">
        <w:rPr>
          <w:rFonts w:ascii="GHEA Grapalat" w:eastAsia="Times New Roman" w:hAnsi="GHEA Grapalat"/>
          <w:sz w:val="24"/>
          <w:szCs w:val="24"/>
          <w:lang w:val="hy-AM"/>
        </w:rPr>
        <w:t>Հղիների 122 ռեգիստրի տվյալների գնահատումը քառավալենտ պատվաստանյութի հետարտոնագրային ուսումնասիրությունների շրջանում տարբերություններ չի հայտնաբերել մի քանի անբարեհաջող ելքերի (հիմնական բնածին արատների, պտղի մահվան և ինքնաբեր վիժումների) հաճախականությունների միջև՝ պատվաստումից հետո և ընդհանուր ազգաբնակչության շրջանում: Կենդանածին նորածինների, ծննդաբերության շրջանում բարդությունների, ինքնաբեր վիժումների, պտղի ուշ մահվան դեպքերի հարաբերակցությունը   նույնն է իննավալենտ և քառավալենտ պատվաստանյութերի կիրառման դեպքում: Բնածին արատներ չեն գրանցվել ժամկետի հաշվարկով</w:t>
      </w:r>
      <w:r w:rsidRPr="00286852">
        <w:rPr>
          <w:rFonts w:ascii="GHEA Grapalat" w:hAnsi="GHEA Grapalat" w:cs="Sylfaen"/>
          <w:sz w:val="24"/>
          <w:szCs w:val="24"/>
          <w:lang w:val="hy-AM"/>
        </w:rPr>
        <w:t xml:space="preserve"> </w:t>
      </w:r>
      <w:r w:rsidRPr="00286852">
        <w:rPr>
          <w:rFonts w:ascii="GHEA Grapalat" w:eastAsia="Times New Roman" w:hAnsi="GHEA Grapalat"/>
          <w:sz w:val="24"/>
          <w:szCs w:val="24"/>
          <w:lang w:val="hy-AM"/>
        </w:rPr>
        <w:t>հղիության դեպքում՝ երբ հղիությունը պլանավորվել է պատվաստումից 30 օր առաջ կամ հետո:</w:t>
      </w:r>
      <w:r w:rsidRPr="00286852">
        <w:rPr>
          <w:rFonts w:ascii="GHEA Grapalat" w:eastAsia="Times New Roman" w:hAnsi="GHEA Grapalat"/>
          <w:sz w:val="16"/>
          <w:szCs w:val="16"/>
          <w:vertAlign w:val="superscript"/>
          <w:lang w:val="hy-AM"/>
        </w:rPr>
        <w:t>59</w:t>
      </w:r>
      <w:r w:rsidRPr="00286852">
        <w:rPr>
          <w:rFonts w:ascii="GHEA Grapalat" w:eastAsia="Times New Roman" w:hAnsi="GHEA Grapalat"/>
          <w:sz w:val="24"/>
          <w:szCs w:val="24"/>
          <w:lang w:val="hy-AM"/>
        </w:rPr>
        <w:t xml:space="preserve"> Ոչ վաղ ժամկետում կատարված կոհորտային հետազոտությունները ցույց են տվել, որ հղիության ընթացքում ներմուծված քառավալենտ ՄՊՊ պատվաստանյութը չի ասոցացվում հղիության անբարեհաջող ելքի զարգացման բարձր ռիսկի հետ:</w:t>
      </w:r>
      <w:r w:rsidRPr="00286852">
        <w:rPr>
          <w:rFonts w:ascii="GHEA Grapalat" w:eastAsia="Times New Roman" w:hAnsi="GHEA Grapalat"/>
          <w:sz w:val="16"/>
          <w:szCs w:val="16"/>
          <w:vertAlign w:val="superscript"/>
          <w:lang w:val="hy-AM"/>
        </w:rPr>
        <w:t>121</w:t>
      </w:r>
    </w:p>
    <w:p w:rsidR="00421CB1" w:rsidRPr="00286852" w:rsidRDefault="00421CB1" w:rsidP="009F2A40">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lastRenderedPageBreak/>
        <w:t xml:space="preserve">Այլ պատվաստանյութերի հետ միաժամանակ ներմուծումը </w:t>
      </w:r>
    </w:p>
    <w:p w:rsidR="00421CB1" w:rsidRPr="00286852" w:rsidRDefault="00421CB1" w:rsidP="009F2A40">
      <w:pPr>
        <w:spacing w:line="360" w:lineRule="auto"/>
        <w:jc w:val="both"/>
        <w:rPr>
          <w:rFonts w:ascii="Sylfaen" w:hAnsi="Sylfaen"/>
          <w:lang w:val="hy-AM"/>
        </w:rPr>
      </w:pPr>
      <w:r w:rsidRPr="00286852">
        <w:rPr>
          <w:rFonts w:ascii="GHEA Grapalat" w:eastAsia="Times New Roman" w:hAnsi="GHEA Grapalat"/>
          <w:sz w:val="24"/>
          <w:szCs w:val="24"/>
          <w:lang w:val="hy-AM"/>
        </w:rPr>
        <w:t xml:space="preserve">Համաձայն պատվաստանյութ արտադրողների տեղեկատվության, պատվաստանյութերը կարող են միաժամանակ ներմուծվել այլ պլանային պատվաստանյութերի հետ՝ դիֆթերիայի և փայտացման անատոքսին, կապույտ հազի ոչ բջջային բաղադրիչ, ԻՊՊ պարունակող կամ առանց ԻՊՊ-ի պարունակության: </w:t>
      </w:r>
      <w:r w:rsidRPr="00286852">
        <w:rPr>
          <w:rFonts w:ascii="GHEA Grapalat" w:eastAsia="Times New Roman" w:hAnsi="GHEA Grapalat"/>
          <w:sz w:val="16"/>
          <w:szCs w:val="16"/>
          <w:vertAlign w:val="superscript"/>
          <w:lang w:val="hy-AM"/>
        </w:rPr>
        <w:t>37,38,39</w:t>
      </w:r>
      <w:r w:rsidRPr="00286852">
        <w:rPr>
          <w:lang w:val="hy-AM"/>
        </w:rPr>
        <w:t xml:space="preserve"> </w:t>
      </w:r>
      <w:r w:rsidRPr="00286852">
        <w:rPr>
          <w:rFonts w:ascii="GHEA Grapalat" w:eastAsia="Times New Roman" w:hAnsi="GHEA Grapalat"/>
          <w:sz w:val="24"/>
          <w:szCs w:val="24"/>
          <w:lang w:val="hy-AM"/>
        </w:rPr>
        <w:t>ԱԿԴՓ-ԻՊՊ պատվաստանյութի ներմուծմանը հաջորդող երկվալենտ ՄՊՎ պատվաստանյութի ներմուծումը (1 ամիս հետո)</w:t>
      </w:r>
      <w:r w:rsidRPr="00286852">
        <w:rPr>
          <w:rFonts w:ascii="GHEA Grapalat" w:hAnsi="GHEA Grapalat"/>
          <w:lang w:val="hy-AM"/>
        </w:rPr>
        <w:t xml:space="preserve"> </w:t>
      </w:r>
      <w:r w:rsidRPr="00286852">
        <w:rPr>
          <w:rFonts w:ascii="GHEA Grapalat" w:eastAsia="Times New Roman" w:hAnsi="GHEA Grapalat"/>
          <w:sz w:val="24"/>
          <w:szCs w:val="24"/>
          <w:lang w:val="hy-AM"/>
        </w:rPr>
        <w:t xml:space="preserve">առաջացնում է հակամարմինների ավելի ցածր մակարդակներ ՄՊՎ-16-ի և ՄՊՎ-18-ի նկատմամբ, քան միայն ՄՊՎ պատվաստանյութի ներմուծման դեպքում: Այս դիտարկման կլինիկական նշանակությունը հայտնի չէ: Երկվալենտ ՄՊՎ պատվաստանյութը կարող է միաժամանակ ներմուծվել հեպատիտ Ա-ի (ինակտիվացված) և հեպատիտ Բ-ի դեմ համակցված պատվաստանյութի հետ: Երկվալենտ և քառավալենտ ՄՊՎ պատվաստանյութերը կարող են միաժամանակ ներմուծվել հեպատիտ Բ-ի դեմ պատվաստանյութերի հետ:   Այլ պատվաստանյութերի հետ ՄՊՎ պատվաստանյութերի միաժամանակ ներմուծումների ժամանակ հակամարմինների մակարդակը զգալիորեն ցածր է եղել, բայց այս դիտարկման կլինիկական նշանակությունն անհայտ է: Իննավալենտ ՄՊՎ </w:t>
      </w:r>
      <w:r w:rsidRPr="00286852">
        <w:rPr>
          <w:rFonts w:ascii="GHEA Grapalat" w:eastAsia="Times New Roman" w:hAnsi="GHEA Grapalat"/>
          <w:sz w:val="24"/>
          <w:szCs w:val="24"/>
          <w:lang w:val="hy-AM"/>
        </w:rPr>
        <w:lastRenderedPageBreak/>
        <w:t>պատվաստանյութի և հեպատիտ Բ-ի դեմ պատվաստանյութերի միաժամանակյա ներմուծման վերաբերյալ տեղեկատվություն չկա: Եթե ՄՊՎ պատվաստանյութը ներարկման ճանապարհով ներմուծվող այլ պատվաստանյութի հետ միաժամանակ է ներմուծվում, ապա դրանք միշտ պետք է ներարկվեն մարմնի տարբեր մասերում</w:t>
      </w:r>
      <w:r w:rsidRPr="00286852">
        <w:rPr>
          <w:vertAlign w:val="superscript"/>
          <w:lang w:val="hy-AM"/>
        </w:rPr>
        <w:t>37,38,39</w:t>
      </w:r>
      <w:r w:rsidRPr="00286852">
        <w:rPr>
          <w:rFonts w:ascii="Sylfaen" w:hAnsi="Sylfaen"/>
          <w:lang w:val="hy-AM"/>
        </w:rPr>
        <w:t>:</w:t>
      </w:r>
    </w:p>
    <w:p w:rsidR="00421CB1" w:rsidRPr="00286852" w:rsidRDefault="00421CB1" w:rsidP="009F2A40">
      <w:pPr>
        <w:spacing w:after="0" w:line="360" w:lineRule="auto"/>
        <w:jc w:val="both"/>
        <w:rPr>
          <w:rFonts w:ascii="Sylfaen" w:hAnsi="Sylfaen"/>
          <w:lang w:val="hy-AM"/>
        </w:rPr>
      </w:pPr>
      <w:r w:rsidRPr="00286852">
        <w:rPr>
          <w:rFonts w:ascii="GHEA Grapalat" w:eastAsia="Times New Roman" w:hAnsi="GHEA Grapalat"/>
          <w:sz w:val="24"/>
          <w:szCs w:val="24"/>
          <w:lang w:val="hy-AM"/>
        </w:rPr>
        <w:t xml:space="preserve">Համակարգված ուսումնասիրությունը123 բերեց այն եզրակացության, որ իմունային պատասխանը չի նվազում, երբ ՄՊՎ պատվաստանյութը ներմուծվել է այլ պատվաստանյութերի, այդ թվում մենինգակոկային կոնյուգացված պատվաստանյութի հետ միաժամանակ, և չի դիտվել հետպատվաստումային անբարեհաջող դեպքերի արտահայտված ընդհանուր բարձրացում, ներառյալ տեղային և ընդհանուր հետպատվաստումային անբարեհաջող դեպքերն այն անձանց խմբերում, որոնց ՄՊՎ պատվաստանյութը ներմուծվել է այլ պատվաստանյութերի հետ միաժամանակ:  Ավելին, հետազոտությունը, որի կատարման ընթացքում ուսումնասիրվել է իննավալենտ ՄՊՎ պատվաստանյութի և մենինգակոկային ու ԱԿԴՓ-Մ պատվաստանյութերի միաժամանակյա ներմուծումը, ցույց է տվել, որ պատվաստումը սովորաբար լավ են տանում և փորձարկվող </w:t>
      </w:r>
      <w:r w:rsidRPr="00286852">
        <w:rPr>
          <w:rFonts w:ascii="GHEA Grapalat" w:eastAsia="Times New Roman" w:hAnsi="GHEA Grapalat"/>
          <w:sz w:val="24"/>
          <w:szCs w:val="24"/>
          <w:lang w:val="hy-AM"/>
        </w:rPr>
        <w:lastRenderedPageBreak/>
        <w:t>պատվաստանյութերը միմյանց չեն խոչընդոտում իմունային պատասխանի առաջացման առումով:</w:t>
      </w:r>
      <w:r w:rsidRPr="00286852">
        <w:rPr>
          <w:vertAlign w:val="superscript"/>
          <w:lang w:val="hy-AM"/>
        </w:rPr>
        <w:t>124</w:t>
      </w:r>
    </w:p>
    <w:p w:rsidR="00421CB1" w:rsidRPr="00286852" w:rsidRDefault="00421CB1" w:rsidP="009F2A40">
      <w:pPr>
        <w:spacing w:after="0"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Այնպիսի պատվաստանյութերի հետ միաժամանակյա ներմուծումն, ինչպիսիք են գրիպի, կարմրուկի, պարոտիտի և կարմրախտի պատվաստանյութերը, դեռևս ուսումնասիրված չէ: </w:t>
      </w:r>
    </w:p>
    <w:p w:rsidR="009F2A40" w:rsidRPr="00286852" w:rsidRDefault="00421CB1" w:rsidP="009F2A40">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Ծախսարդյունավետությունը</w:t>
      </w:r>
    </w:p>
    <w:p w:rsidR="00421CB1" w:rsidRPr="00286852" w:rsidRDefault="00421CB1" w:rsidP="009F2A40">
      <w:pPr>
        <w:spacing w:after="0" w:line="360" w:lineRule="auto"/>
        <w:jc w:val="both"/>
        <w:rPr>
          <w:rFonts w:ascii="Sylfaen" w:hAnsi="Sylfaen"/>
          <w:lang w:val="hy-AM"/>
        </w:rPr>
      </w:pPr>
      <w:r w:rsidRPr="00286852">
        <w:rPr>
          <w:rFonts w:ascii="GHEA Grapalat" w:eastAsia="Times New Roman" w:hAnsi="GHEA Grapalat"/>
          <w:sz w:val="24"/>
          <w:szCs w:val="24"/>
          <w:lang w:val="hy-AM"/>
        </w:rPr>
        <w:t>ՄՊՎ պատվաստանյութի ծախարդյունավետության գնահատումը, հատկապես սահմանափակ ռեսուրսների առկայության պայմաններում, կախված է պատվաստանյութի գնից, գործառնական ծախսերից, ՄՊՎ վարակի տարածվածությունից, պատվաստման դեղաչափերի թվից, սկրինինգային հետազոտությունների և քաղցկեղի բուժման համար կատարվող ծախսերից:125  Գլոբալ կոնտեքստում ծախսարդյունավետության հետազոտությունը պետությունների տվյալների համաձայն ցույց է տալիս, որ նախադեռահասային տարիքում աղջիկների պատվաստումը սովորաբար ծախսարդյունավետ է, հատկապես սահմանափակ ռեսուրսների առկայության պայմաններում, որտեղ արգանդի պարանոցի քաղցկեղի այլընտրանքային կանխարգելումը և վարակի դեմ պայքարի միջոցառումները հաճախ սահմանափակ ընդգրկվածություն են ունենում:</w:t>
      </w:r>
      <w:r w:rsidRPr="00286852">
        <w:rPr>
          <w:vertAlign w:val="superscript"/>
          <w:lang w:val="hy-AM"/>
        </w:rPr>
        <w:t>126,127</w:t>
      </w:r>
    </w:p>
    <w:p w:rsidR="00421CB1" w:rsidRPr="00286852" w:rsidRDefault="00421CB1" w:rsidP="009F2A40">
      <w:pPr>
        <w:spacing w:after="0" w:line="360" w:lineRule="auto"/>
        <w:ind w:firstLine="720"/>
        <w:jc w:val="both"/>
        <w:rPr>
          <w:lang w:val="hy-AM"/>
        </w:rPr>
      </w:pPr>
      <w:r w:rsidRPr="00286852">
        <w:rPr>
          <w:rFonts w:ascii="GHEA Grapalat" w:eastAsia="Times New Roman" w:hAnsi="GHEA Grapalat"/>
          <w:sz w:val="24"/>
          <w:szCs w:val="24"/>
          <w:lang w:val="hy-AM"/>
        </w:rPr>
        <w:lastRenderedPageBreak/>
        <w:t xml:space="preserve">Պատվաստումների տարբեր օրացույցների աճող ծախսարդյունավետության գնահատումը նաև կախված է  պաշտպանության տևողության վերաբերյալ ենթադրություններից: Երկու դինամիկ մոդելներ՝մեկուսացված փոխանցման և անհատական փոխանցման մոդելները կիրառվել են ՄՊՎ պատվաստանյութի ազդեցության, ՄՊՎ վարակի, սեռական  ճանապարհով փոխանցման գնահատման համար: Երկու մոդելները բերեցին այն եզրակացության, որ հիպոթետիկ եզրակացությունների դեքում, ըստ որի երկու դեղաչափ պատվաստում ստացած կանանց մոտ պաշտպանության տևողությունը կազմում է ≥20 տարի, հիվանդության մի քանի լրացուցիչ դեպքեր կկանխարգելվեն լրացուցիչ երրորդ դեղաչափի ներմուծմամբ: Սակայն, եթե պաշտպանության տևողությունը լինի &lt;10 տարուց, երրորդ լրացուցիչ դեղաչափից օգուտը զգալիորեն շատ կլինի: Բնակչության եկամտի բարձր մակարդակի առկայության պայմաններում, այն ենթադրության դեպքում, որ պաշտպանության տևողությունը 10-20 տարի է կազմում, երրորդ դեղաչափի ավելացումն անշահավետ է համարվում: </w:t>
      </w:r>
    </w:p>
    <w:p w:rsidR="00421CB1" w:rsidRPr="00286852" w:rsidRDefault="00421CB1" w:rsidP="009F2A40">
      <w:pPr>
        <w:spacing w:line="360" w:lineRule="auto"/>
        <w:jc w:val="both"/>
        <w:rPr>
          <w:vertAlign w:val="superscript"/>
          <w:lang w:val="hy-AM"/>
        </w:rPr>
      </w:pPr>
      <w:r w:rsidRPr="00286852">
        <w:rPr>
          <w:rFonts w:ascii="GHEA Grapalat" w:eastAsia="Times New Roman" w:hAnsi="GHEA Grapalat"/>
          <w:sz w:val="24"/>
          <w:szCs w:val="24"/>
          <w:lang w:val="hy-AM"/>
        </w:rPr>
        <w:t xml:space="preserve">Համակարգված վերլուծությունը և մեթա-վերլուծությունը, որը ներկայացնում է բարձր եկամտով բնակչություն ունեցող 10 երկրների՝ փոխանցման </w:t>
      </w:r>
      <w:r w:rsidRPr="00286852">
        <w:rPr>
          <w:rFonts w:ascii="GHEA Grapalat" w:eastAsia="Times New Roman" w:hAnsi="GHEA Grapalat"/>
          <w:sz w:val="24"/>
          <w:szCs w:val="24"/>
          <w:lang w:val="hy-AM"/>
        </w:rPr>
        <w:lastRenderedPageBreak/>
        <w:t xml:space="preserve">վերաբերյալ 16 անկախ դինամիկ մոդելների ընդհանուր կանխատեսումները, թույլ են տալիս ենթադրել, որ ՄՊՎ պատվաստումը ստեղծում է հզոր կոլեկտիվ պաշտպանություն, որը կբերի ՄՊՎ վարակի և նրա հետ կապված հիվանդություններով հիվանդացության էական երկարաժամկետ նվազման չպատվաստված կանանց և տղամարդկանց մոտ: Այսպիսի արդյունք է կանխատեսվում նույնիսկ պատվաստումներում 40% ընդգրկվածության դեպքում, և պետք է ավելի բարձր լինի ՄՊՎ-18-ի, ՄՊՎ-6-ի և ՄՊՎ-11-ի նկատմամբ, քան ՄՊՎ-16-ի: Ցածր և միջին եկամուտ ունեցող բնակչությամբ երկրների արդյունքները համադրելի են  բարձր եկամտով բնակչություն ունեցող երկրների մոդելների հետ: Երկվալենտ և քառավալենտ պատվաստանյութերի ընթացիկ գների դեպքում միայն աղջիկների պատվաստումը ծախսարդյունավետ է  (պատվաստումների բացակայության համեմատությամբ) անկախ կիրառվող պատվաստանյութից,  նույնիսկ եթե ենթադրվում է, որ բացակայում է խաչաձև և կոլեկտիվ պաշտպանությունը: Գլոբալ կոնտեքստում, վերլուծությունների տվյալների համաձայն միայն աղջիկների պատվաստումը ծախսարդյունավետ է համարվում, նույնիսկ, երբ հաշվի է առնվում միայն պատվաստման անմիջական ազդեցությունը պատվաստված կանանց վրա և արգանդի պարանոցի քաղցկեղը որպես </w:t>
      </w:r>
      <w:r w:rsidRPr="00286852">
        <w:rPr>
          <w:rFonts w:ascii="GHEA Grapalat" w:eastAsia="Times New Roman" w:hAnsi="GHEA Grapalat"/>
          <w:sz w:val="24"/>
          <w:szCs w:val="24"/>
          <w:lang w:val="hy-AM"/>
        </w:rPr>
        <w:lastRenderedPageBreak/>
        <w:t>արդյունք, օգտագործելով ծախսարդյունավետության տարբեր շեմեր: Գենդերային տեսակետից չեզոք պատվաստումները մշտապես պակաս ծախսարդյունավետ են, քան միայն աղջիկների պատվաստումները, և քիչ հավանական է, որ ծախսարդյունավետ կլինեն պատվաստումներում ≥80% ընդգրկման դեպքում: Եթե ՄՊՎ պատվաստումներում աղջիկների ընդգրկվածությունը բարձր է մոտ 50%-ից, ապա  գենդերային տեսակետից չեզոք պատվաստումները քիչ հավանական է, որ  ծախսարդյունավետ կինեն (միայն աղջիկների պատվաստման համեմատությամբ): Աղջիկների 50%-ից պակաս ընդգրկվածության դեպքում տղաների պատվաստումները որոշ պայմաններում կարող են ծախսարդյունավետ լինել, որը կախված է գոյություն ունեցող ծախսերից, ՄՊՎ վարակի հետ կապված հիվանդությունների համաճարակաբաությունից, և ծրագրային առանձնահատկություններից:</w:t>
      </w:r>
      <w:r w:rsidRPr="00286852">
        <w:rPr>
          <w:vertAlign w:val="superscript"/>
          <w:lang w:val="hy-AM"/>
        </w:rPr>
        <w:t>126</w:t>
      </w:r>
    </w:p>
    <w:p w:rsidR="00687A9B" w:rsidRPr="00286852" w:rsidRDefault="00687A9B" w:rsidP="00687A9B">
      <w:pPr>
        <w:spacing w:line="360" w:lineRule="auto"/>
        <w:jc w:val="both"/>
        <w:rPr>
          <w:rFonts w:ascii="GHEA Grapalat" w:eastAsia="Times New Roman" w:hAnsi="GHEA Grapalat"/>
          <w:b/>
          <w:sz w:val="24"/>
          <w:szCs w:val="24"/>
          <w:lang w:val="hy-AM"/>
        </w:rPr>
      </w:pPr>
    </w:p>
    <w:p w:rsidR="00687A9B" w:rsidRPr="00286852" w:rsidRDefault="00687A9B" w:rsidP="00687A9B">
      <w:pPr>
        <w:spacing w:line="360" w:lineRule="auto"/>
        <w:jc w:val="both"/>
        <w:rPr>
          <w:rFonts w:ascii="GHEA Grapalat" w:eastAsia="Times New Roman" w:hAnsi="GHEA Grapalat"/>
          <w:b/>
          <w:sz w:val="24"/>
          <w:szCs w:val="24"/>
          <w:lang w:val="hy-AM"/>
        </w:rPr>
      </w:pPr>
    </w:p>
    <w:p w:rsidR="00687A9B" w:rsidRPr="00286852" w:rsidRDefault="00AE297F" w:rsidP="00687A9B">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b/>
          <w:sz w:val="24"/>
          <w:szCs w:val="24"/>
          <w:lang w:val="hy-AM"/>
        </w:rPr>
        <w:t xml:space="preserve">ԱՀԿ-ի դիրքորոշումը </w:t>
      </w:r>
    </w:p>
    <w:p w:rsidR="00AE297F" w:rsidRPr="00286852" w:rsidRDefault="00AE297F" w:rsidP="00687A9B">
      <w:pPr>
        <w:spacing w:line="360" w:lineRule="auto"/>
        <w:jc w:val="both"/>
        <w:rPr>
          <w:rFonts w:ascii="GHEA Grapalat" w:eastAsia="Times New Roman" w:hAnsi="GHEA Grapalat"/>
          <w:b/>
          <w:sz w:val="24"/>
          <w:szCs w:val="24"/>
          <w:lang w:val="hy-AM"/>
        </w:rPr>
      </w:pPr>
      <w:r w:rsidRPr="00286852">
        <w:rPr>
          <w:rFonts w:ascii="GHEA Grapalat" w:eastAsia="Times New Roman" w:hAnsi="GHEA Grapalat"/>
          <w:sz w:val="24"/>
          <w:szCs w:val="24"/>
          <w:lang w:val="hy-AM"/>
        </w:rPr>
        <w:t xml:space="preserve">ԱՀԿ-ն արգանդի պարանոցի քաղցկեղը, ինչպես նաև ՄՊՎ-ով պայմանավորված այլ հիվնադությունները, դիտարկում է հանրային </w:t>
      </w:r>
      <w:r w:rsidRPr="00286852">
        <w:rPr>
          <w:rFonts w:ascii="GHEA Grapalat" w:eastAsia="Times New Roman" w:hAnsi="GHEA Grapalat"/>
          <w:sz w:val="24"/>
          <w:szCs w:val="24"/>
          <w:lang w:val="hy-AM"/>
        </w:rPr>
        <w:lastRenderedPageBreak/>
        <w:t xml:space="preserve">առողջապահության գլոբալ խնդիր և առաջարկում է ՄՊՎ-ի դեմ պատվաստումները ներդնել պատվաստումների ազգային օրացույցներում: ՄՊՎ-ով պայմանավորված  արգանդի պարանոցի քաղցկեղը /84%/ պետք է լինի առաջնահերթություն ՄՊՎ-ի դեմ պատվաստումների համար: Արգանդի պարանոցի քաղցկեղի կանխարգելման գործընթացում առանցքային է աղջիկների պատվաստումը ՄՊՎ-ի դեմ:   Բոլոր 3 պատվաստանյութերը՝ երկվալենտ, քառավալենտ և իննավալենտ, ունեն գերազանց ապահովության, անվտանգության և արդյունավետության բնութագրեր: </w:t>
      </w:r>
    </w:p>
    <w:p w:rsidR="00AE297F" w:rsidRPr="00286852" w:rsidRDefault="00AE297F" w:rsidP="00AE297F">
      <w:pPr>
        <w:spacing w:line="105" w:lineRule="exact"/>
        <w:rPr>
          <w:rFonts w:ascii="Times New Roman" w:eastAsia="Times New Roman" w:hAnsi="Times New Roman"/>
          <w:sz w:val="24"/>
          <w:szCs w:val="24"/>
          <w:lang w:val="hy-AM"/>
        </w:rPr>
      </w:pPr>
    </w:p>
    <w:p w:rsidR="00AE297F" w:rsidRPr="00286852" w:rsidRDefault="00AE297F" w:rsidP="00AE297F">
      <w:pPr>
        <w:spacing w:line="360" w:lineRule="auto"/>
        <w:jc w:val="both"/>
        <w:rPr>
          <w:rFonts w:ascii="GHEA Grapalat" w:eastAsia="Times New Roman" w:hAnsi="GHEA Grapalat"/>
          <w:sz w:val="24"/>
          <w:szCs w:val="24"/>
          <w:lang w:val="hy-AM"/>
        </w:rPr>
      </w:pPr>
      <w:r w:rsidRPr="00286852">
        <w:rPr>
          <w:rFonts w:ascii="GHEA Grapalat" w:eastAsia="Times New Roman" w:hAnsi="GHEA Grapalat"/>
          <w:i/>
          <w:sz w:val="24"/>
          <w:szCs w:val="24"/>
          <w:lang w:val="hy-AM"/>
        </w:rPr>
        <w:t>Ներդրման ռազմավարություն.</w:t>
      </w:r>
      <w:r w:rsidRPr="00286852">
        <w:rPr>
          <w:rFonts w:ascii="GHEA Grapalat" w:eastAsia="Times New Roman" w:hAnsi="GHEA Grapalat"/>
          <w:sz w:val="24"/>
          <w:szCs w:val="24"/>
          <w:lang w:val="hy-AM"/>
        </w:rPr>
        <w:t xml:space="preserve"> ՄՊՎ-ի դեմ պատվաստումները արգանդի պարանոցի քաղցկեղի և ՄՊՎ-ով պայմանավորված այլ հիվանդությունների կանխարգելման համակարգված և համապարփակ ռազմավարության որպես մի բաղադրիչն են: Այդ ռազմավարությունը պետք է ներառի ՄՊՎ-ով վարակվելուն նպաստող վարքագծի փոփոխության վարաբերյալ կրթում, բուժաշխատողների կրթում և կանանց իրազեկում սքրինինգային ծրագրերի, արգանդի պարանոցի նախաքաղցկեղային վիճակների, քաղցկեղի կանխարգելման ր բուժման վերաբերյալ:  Ռազմավարությունը պետք է ներառի նաև սքրինինգային ծրագիր, քաղցկեղի բուժում և պալիատիվ խնամք: ՄՊՎ-</w:t>
      </w:r>
      <w:r w:rsidRPr="00286852">
        <w:rPr>
          <w:rFonts w:ascii="GHEA Grapalat" w:eastAsia="Times New Roman" w:hAnsi="GHEA Grapalat"/>
          <w:sz w:val="24"/>
          <w:szCs w:val="24"/>
          <w:lang w:val="hy-AM"/>
        </w:rPr>
        <w:lastRenderedPageBreak/>
        <w:t xml:space="preserve">ի դեմ պատվաստումներն ապահովում են առաջնային կանխարգելում և չեն ենթադրում սքրինինգի բացառում, քանի որ ՄՊՎ-ի դեմ պատվաստումները չեն պաշտպանում ՄՊՎ-ի բոլոր բարձր ռիսկի շճատիպերից: ՄՊՎ-ի դեմ պատվաստումները պետք է փորձել համատեղել այդ տարիքում իրականացվող այլ պատվաստումների  կամ այլ միջամտությունների հետ:  </w:t>
      </w:r>
    </w:p>
    <w:p w:rsidR="00AE297F" w:rsidRPr="00286852" w:rsidRDefault="00AE297F" w:rsidP="00687A9B">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ԱՀԿ-ն բոլոր երկրներին առաջարկում է ՄՊՎ-ի դեմ պատավստումների ազգային ներդրում: Երկրները բարձր ընդգրկվածություն ապահովելու նպատակով պետք է կիրառեն երկրում գործող պատվաստանյութերի բաշխման, սառցային շղթայի ապահովման հասանելի, ծախս-արդյունավետ և կայուն համակարգերը: ՄՊՎ-ի դեմ պատվաստումների փուլային կամ կարճաժամկետ այլընտրանքային ներդրումն իրականացվում է այն երկրներում, որտեղ առկա են ֆինանասական կամ օպերատիվ սահմանափակումներ ազգային օրացույցում ներդրման համար: Այս դեպքում առաջնահերթությունը տրվում է սքրինինգի ավելի քիչ հասանելություն ունեցող բնակչությանը: </w:t>
      </w:r>
    </w:p>
    <w:p w:rsidR="00AE297F" w:rsidRPr="00286852" w:rsidRDefault="00AE297F" w:rsidP="00687A9B">
      <w:pPr>
        <w:spacing w:line="360" w:lineRule="auto"/>
        <w:jc w:val="both"/>
        <w:rPr>
          <w:rFonts w:ascii="GHEA Grapalat" w:eastAsia="Times New Roman" w:hAnsi="GHEA Grapalat"/>
          <w:sz w:val="24"/>
          <w:szCs w:val="24"/>
          <w:lang w:val="hy-AM"/>
        </w:rPr>
      </w:pPr>
      <w:r w:rsidRPr="00286852">
        <w:rPr>
          <w:rFonts w:ascii="GHEA Grapalat" w:eastAsia="Times New Roman" w:hAnsi="GHEA Grapalat"/>
          <w:i/>
          <w:sz w:val="24"/>
          <w:szCs w:val="24"/>
          <w:lang w:val="hy-AM"/>
        </w:rPr>
        <w:t>Առաջնային և երկրորդային թիրախային քանակակազմեր.</w:t>
      </w:r>
      <w:r w:rsidRPr="00286852">
        <w:rPr>
          <w:rFonts w:ascii="GHEA Grapalat" w:eastAsia="Times New Roman" w:hAnsi="GHEA Grapalat"/>
          <w:sz w:val="24"/>
          <w:szCs w:val="24"/>
          <w:lang w:val="hy-AM"/>
        </w:rPr>
        <w:t xml:space="preserve"> Արգանդի պարանոցի քաղցկեղի կանխարգելման համար ԱՀԿ-ն որպես առաջնային </w:t>
      </w:r>
      <w:r w:rsidRPr="00286852">
        <w:rPr>
          <w:rFonts w:ascii="GHEA Grapalat" w:eastAsia="Times New Roman" w:hAnsi="GHEA Grapalat"/>
          <w:sz w:val="24"/>
          <w:szCs w:val="24"/>
          <w:lang w:val="hy-AM"/>
        </w:rPr>
        <w:lastRenderedPageBreak/>
        <w:t>թիրախային քանակակազմ առաջարկում է 9-14 տարեկան աղջիկներին՝ մինչև սեռական ակտիվությունը: Պատվաստման ռազմավարությունները առաջնահերթ պետք է ուղված լինեն այս նպատակային քանակակազմի շրջանում բարձր ընդգրկվածություն ապահովելուն: Աղջիկների շրջանում բարձր ընդգրկվածության (&gt;80%) ապահովման դեպքում նվազում է տղաների ՄՊՎ-ով վարակվելու ռիսկը 129:</w:t>
      </w:r>
    </w:p>
    <w:p w:rsidR="00AE297F" w:rsidRPr="00286852" w:rsidRDefault="00AE297F" w:rsidP="00687A9B">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Երկրորդային թիրախային քանակակազմերի, օրինակ ≥15 տարիքի կանայք կամ տղամարդիկ, շրջանում պատվաստումները, առաջարկվում են միայն, եթե այն իրականանալի է, հասանելի, ծախս-արդյունավետ և միջոցները չեն շեղում առաջնային թիրախային քանակակազմի պատվաստումներից կամ արգանդի պարանոցի քաղցկեղի արդյունավետ սքրինինգային ծրագրերից: </w:t>
      </w:r>
    </w:p>
    <w:p w:rsidR="00AE297F" w:rsidRPr="00286852" w:rsidRDefault="00AE297F" w:rsidP="00AE297F">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Պատվաստումների իրականացումը միաժամանակ 9-18 տարեկան աղջիկների մի քանի տարիքային խմբերում ներդրման պահին կառաջացնի ավելի արագ և ավելի մեծ արդյունք, քան մեկ տարիքային խմբի  պատվաստումների ընթացքում՝ ի հաշիվ ուղղակի պաշտպանության և կոլեկտիվ իմունիտետի առաջացման130: 9-14 տարեկան աղջիկների շրջանում միաժամանակ մի քանի տարիքային խմբերում պատվաստումների </w:t>
      </w:r>
      <w:r w:rsidRPr="00286852">
        <w:rPr>
          <w:rFonts w:ascii="GHEA Grapalat" w:eastAsia="Times New Roman" w:hAnsi="GHEA Grapalat"/>
          <w:sz w:val="24"/>
          <w:szCs w:val="24"/>
          <w:lang w:val="hy-AM"/>
        </w:rPr>
        <w:lastRenderedPageBreak/>
        <w:t>իրականացումը ծախսարդյունավետ է, մասնավորապես երկնվագ օրացույցի կիրառման դեպքում: 9-14 տարեկան աղջիկների մի քանի տարիքային խմբերում առաջնային պատվաստումները առաջարկվում է, երբ պատվաստումները ներդրվում են առաջին անգամ: ≥15 տարեկան կանանց և աղջիկների յուրաքանչյուր լրացուցիչ խմբի պատվաստման ծախսարդյունավետությունը իջնում է, քանի որ պատվաստումների օրացույցը եռանվագ է և սեռական ակտիվ կանանց մասնաբաժինը ավելի մեծ է:</w:t>
      </w:r>
    </w:p>
    <w:p w:rsidR="00421CB1" w:rsidRPr="00286852" w:rsidRDefault="00421CB1" w:rsidP="009F2A40">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Բարձր եկամտով բնակչություն ունեցող երկրների և միջին եկամտով բնակչություն ունեցող երկրների գոյություն ունեցող մոդելները կանխատեսում են, որ իննավալենտ ՄՊՎ պատվաստանյութի կիրառման ռազմավարությանն անցումն ավելի կնվազեցնի արգանդի պարանոցի նախաքաղցկեղային ախտահարումները և արգանդի պարանոցի քաղցկեղը, շատ սահմանափակ ազդեցություն ունենալով արգանդի պարանոցի հետ կապ չունեցող ՄՊՎ վարակի արդյունքների վրա: Սակայն կարևոր է նշել, որ իննավալենտ պատվաստանյութի կիրառման օգուտի մեծությունը արգանդի պարանոցի քաղցկեղի կանխարգելման տեսակետից զգալիորեն կախված է երկվալենտ և քառավալենտ պատվաստանյութերով ապահովվող խաչաձև պաշտպանության մակարդակի և տևողության վերաբերյալ </w:t>
      </w:r>
      <w:r w:rsidRPr="00286852">
        <w:rPr>
          <w:rFonts w:ascii="GHEA Grapalat" w:eastAsia="Times New Roman" w:hAnsi="GHEA Grapalat"/>
          <w:sz w:val="24"/>
          <w:szCs w:val="24"/>
          <w:lang w:val="hy-AM"/>
        </w:rPr>
        <w:lastRenderedPageBreak/>
        <w:t xml:space="preserve">ենթադրություններից: Բարձր եկամտով բնակչություն ունեցող երկրներում իննավալենտ պատվաստանյութի կիրառման ծրագրին անցումը համարվում է, որ ծախսարդյունավետ կլինի և կբերի միջոցների տնտեսման, եթե իննավալենտ պատվաստանյութի 1 դեղաչափի արժեքը 10-15%-ով ավել լինի քառավալենտ պատվաստանյութից: Գլոբալ վերլուծություն անցկացնելիս հաշվարկվել է, որ իննավալենտ պատվաստանյութով միայն աղջիկների պատվաստումը ծախսարդյունավետ կլինի միջին եկամտով բնակչություն ունեցող երկրներում (երկվալենտ և քառավալենտ պատվաստանյութերի համեմատությամբ, երբ 1 x համախառն ներքին արդյունքը օգտագործվում է որպես ծախսարդյունավետության շեմ) պատվաստումների օրացույցում երկու դեղաչափ պատվաստման ներդրման և իննավալենտ պատվաստանյութի՝ երկվալենտ կամ քառավալենտ պատվաստանյութերին հավասար արժեքի դեպքում: Իննավալենտ պատվաստանյութը ծախսարդյունավետ չի եղել  (երկվալենտի համեմատությամբ) երկվալենտ պատվաստանյութի կիրառման դեպքում առավելագույն խաչաձև պաշտպանության առկայության պայմաններում: </w:t>
      </w:r>
    </w:p>
    <w:p w:rsidR="000E6F8B" w:rsidRPr="00286852" w:rsidRDefault="000E6F8B" w:rsidP="000E6F8B">
      <w:pPr>
        <w:spacing w:line="248" w:lineRule="auto"/>
        <w:jc w:val="both"/>
        <w:rPr>
          <w:rFonts w:ascii="GHEA Grapalat" w:eastAsia="Times New Roman" w:hAnsi="GHEA Grapalat"/>
          <w:i/>
          <w:sz w:val="24"/>
          <w:szCs w:val="24"/>
          <w:lang w:val="hy-AM"/>
        </w:rPr>
      </w:pPr>
      <w:r w:rsidRPr="00286852">
        <w:rPr>
          <w:rFonts w:ascii="GHEA Grapalat" w:eastAsia="Times New Roman" w:hAnsi="GHEA Grapalat"/>
          <w:i/>
          <w:sz w:val="24"/>
          <w:szCs w:val="24"/>
          <w:lang w:val="hy-AM"/>
        </w:rPr>
        <w:t>ՄՊՎ-ի դեմ պատվաստանյութի ընտրություն</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lastRenderedPageBreak/>
        <w:t>Առկա տվյալներն ենթադրում են, որ հանրային առողջության տեսանկյունից երկվալենտ, քառավալենտ և իննավալենտ պատվաստանյութերն առաջացնում են համեմատելի իմունոգենություն և արդյունավետություն, արգանդի պարանոցի քաղցկեղի կանխարգելման համար, ինչը հիմնականում պայմանավորված է ՄՊՎ-ի 16 և18 շճատիպերով:</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ՄՊՎ-ի պատվաստանյութի ընտրությունը պետք է հիմնված լինի համապատասխան տվյալների գնահատման վրա և մի շարք գործոնների վրա, ներառյալ` հանրային առողջության խնդրիրները (արգանդի պարանոցի քաղցկեղ, ՄՊՎ-ի հետ կապված այլ քաղցկեղ կամ անոգենիտալ գորտնուկներ) և որի արդյունքում էլ հիմնավորվել է  պատվաստանյութի ներդրումը: Որոշում կայացնողները նույնպես պետք է հաշվի առնեն յուրահատուկ արտադրանքի բնութագրերը, ինչպիսիք են գինը ևծրագրային նկատառումները:</w:t>
      </w:r>
    </w:p>
    <w:p w:rsidR="000E6F8B" w:rsidRPr="00286852" w:rsidRDefault="000E6F8B" w:rsidP="000E6F8B">
      <w:pPr>
        <w:spacing w:line="248" w:lineRule="auto"/>
        <w:jc w:val="both"/>
        <w:rPr>
          <w:rFonts w:ascii="GHEA Grapalat" w:eastAsia="Times New Roman" w:hAnsi="GHEA Grapalat" w:cs="Sylfaen"/>
          <w:i/>
          <w:sz w:val="24"/>
          <w:szCs w:val="24"/>
          <w:lang w:val="hy-AM"/>
        </w:rPr>
      </w:pPr>
      <w:r w:rsidRPr="00286852">
        <w:rPr>
          <w:rFonts w:ascii="GHEA Grapalat" w:eastAsia="Times New Roman" w:hAnsi="GHEA Grapalat" w:cs="Sylfaen"/>
          <w:i/>
          <w:sz w:val="24"/>
          <w:szCs w:val="24"/>
          <w:lang w:val="hy-AM"/>
        </w:rPr>
        <w:t>Պատվաստումների</w:t>
      </w:r>
      <w:r w:rsidRPr="00286852">
        <w:rPr>
          <w:rFonts w:ascii="GHEA Grapalat" w:eastAsia="Times New Roman" w:hAnsi="GHEA Grapalat" w:cs="Times New Roman"/>
          <w:i/>
          <w:sz w:val="24"/>
          <w:szCs w:val="24"/>
          <w:lang w:val="hy-AM"/>
        </w:rPr>
        <w:t xml:space="preserve"> </w:t>
      </w:r>
      <w:r w:rsidRPr="00286852">
        <w:rPr>
          <w:rFonts w:ascii="GHEA Grapalat" w:eastAsia="Times New Roman" w:hAnsi="GHEA Grapalat" w:cs="Sylfaen"/>
          <w:i/>
          <w:sz w:val="24"/>
          <w:szCs w:val="24"/>
          <w:lang w:val="hy-AM"/>
        </w:rPr>
        <w:t>ժամանակացույցը</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cs="Sylfaen"/>
          <w:sz w:val="24"/>
          <w:szCs w:val="24"/>
          <w:lang w:val="hy-AM"/>
        </w:rPr>
        <w:t xml:space="preserve">Այսօրվա տվյալները հաստատում են 9-14 տարեկանում 2 դեղաչափ ժամանակացույցով պատվաստումների համար առաջին և երկրորդ դեղաչափերի միջև նշված ժամանակահատվածի առավելությունը: </w:t>
      </w:r>
      <w:r w:rsidRPr="00286852">
        <w:rPr>
          <w:rFonts w:ascii="GHEA Grapalat" w:eastAsia="Times New Roman" w:hAnsi="GHEA Grapalat"/>
          <w:sz w:val="24"/>
          <w:szCs w:val="24"/>
          <w:lang w:val="hy-AM"/>
        </w:rPr>
        <w:t xml:space="preserve">Այս </w:t>
      </w:r>
      <w:r w:rsidRPr="00286852">
        <w:rPr>
          <w:rFonts w:ascii="GHEA Grapalat" w:eastAsia="Times New Roman" w:hAnsi="GHEA Grapalat"/>
          <w:sz w:val="24"/>
          <w:szCs w:val="24"/>
          <w:lang w:val="hy-AM"/>
        </w:rPr>
        <w:lastRenderedPageBreak/>
        <w:t>ժամանակացույցը ունի նաև ծախսարդյունավետ և ծրագրային առավելություններ: ՄՊՎ-ի դեմ պատվաստումների ժամանակացույցը խորհուրդ է տրվում երկու դեղաչափով 6 ամիս ըդմիջումով այն անձանց, ովքեր առաջին դեղաչափն ստանում են մինչև 15 տարեկան հասակում: Երկրորդ դեղաչափն այդ տարիքում նույն դեղաչափով է կատարվում:</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Դոզաների միջև չկա առավելագույն ընդմիջում: Այնուամենայնիվ, ժամանակացույցը լրացնելու համար առաջարկվում է ոչ ավելի, քան 12-15 ամսվա ընդմիջում: Եթե դեղաչափերի միջև ընդմիջումը 5 ամսից կարճ է, ապա երրորդ դեղաչափը պետք է տրվի առաջին դոզանից առնվազն 6 ամիս հետո:</w:t>
      </w:r>
    </w:p>
    <w:p w:rsidR="000E6F8B" w:rsidRPr="00286852" w:rsidRDefault="000E6F8B" w:rsidP="000E6F8B">
      <w:pPr>
        <w:spacing w:line="360" w:lineRule="auto"/>
        <w:jc w:val="both"/>
        <w:rPr>
          <w:lang w:val="hy-AM"/>
        </w:rPr>
      </w:pPr>
      <w:r w:rsidRPr="00286852">
        <w:rPr>
          <w:rFonts w:ascii="GHEA Grapalat" w:eastAsia="Times New Roman" w:hAnsi="GHEA Grapalat"/>
          <w:sz w:val="24"/>
          <w:szCs w:val="24"/>
          <w:lang w:val="hy-AM"/>
        </w:rPr>
        <w:t>Բոլոր  պատվաստումների համար, որոնք սկսվում են 15 տարեկանից հետո  պետք է կիրառվեն 3 դեղաչափանոց ժամանակացույց (0, 1 - 2, 6 ամիս), ներառյալ ՄԻԱՎ վարակակիրները (անկախ նրանից ստանում են նրանք հակառետրովիրուսային թերապիա) :</w:t>
      </w:r>
      <w:r w:rsidRPr="00286852">
        <w:rPr>
          <w:lang w:val="hy-AM"/>
        </w:rPr>
        <w:t xml:space="preserve"> </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i/>
          <w:sz w:val="24"/>
          <w:szCs w:val="24"/>
          <w:lang w:val="hy-AM"/>
        </w:rPr>
        <w:t>Այլ պատվաստանյութերի հետ միաժամանակյա օգտագործում</w:t>
      </w:r>
      <w:r w:rsidRPr="00286852">
        <w:rPr>
          <w:rFonts w:ascii="GHEA Grapalat" w:eastAsia="Times New Roman" w:hAnsi="GHEA Grapalat"/>
          <w:sz w:val="24"/>
          <w:szCs w:val="24"/>
          <w:lang w:val="hy-AM"/>
        </w:rPr>
        <w:t>:</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sz w:val="24"/>
          <w:szCs w:val="24"/>
          <w:lang w:val="hy-AM"/>
        </w:rPr>
        <w:t xml:space="preserve">ՄՊՎ-ի դեմ պատվաստանյութերը կարող են համակցվել այլ ոչ կենդանի և կենդանի պատվաստանյութերի հետ, օգտագործելով առանձին ներարկիչներ </w:t>
      </w:r>
      <w:r w:rsidRPr="00286852">
        <w:rPr>
          <w:rFonts w:ascii="GHEA Grapalat" w:eastAsia="Times New Roman" w:hAnsi="GHEA Grapalat"/>
          <w:sz w:val="24"/>
          <w:szCs w:val="24"/>
          <w:lang w:val="hy-AM"/>
        </w:rPr>
        <w:lastRenderedPageBreak/>
        <w:t xml:space="preserve">և տարբեր ներարկման </w:t>
      </w:r>
      <w:r w:rsidR="00D547B6" w:rsidRPr="00286852">
        <w:rPr>
          <w:rFonts w:ascii="GHEA Grapalat" w:eastAsia="Times New Roman" w:hAnsi="GHEA Grapalat"/>
          <w:sz w:val="24"/>
          <w:szCs w:val="24"/>
          <w:lang w:val="hy-AM"/>
        </w:rPr>
        <w:t>հատված</w:t>
      </w:r>
      <w:r w:rsidRPr="00286852">
        <w:rPr>
          <w:rFonts w:ascii="GHEA Grapalat" w:eastAsia="Times New Roman" w:hAnsi="GHEA Grapalat"/>
          <w:sz w:val="24"/>
          <w:szCs w:val="24"/>
          <w:lang w:val="hy-AM"/>
        </w:rPr>
        <w:t xml:space="preserve">եր: ՄՊՎ-ի դեմ պատվաստումները պետք է համատեղել դիֆթերիայի և փայտացման պատվաստանյութերի հետ: </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i/>
          <w:sz w:val="24"/>
          <w:szCs w:val="24"/>
          <w:lang w:val="hy-AM"/>
        </w:rPr>
        <w:t>ՄՊՎ-ի դեմ պատվաստանյութերի փոխարինելիության կիրառումը</w:t>
      </w:r>
      <w:r w:rsidRPr="00286852">
        <w:rPr>
          <w:rFonts w:ascii="GHEA Grapalat" w:eastAsia="Times New Roman" w:hAnsi="GHEA Grapalat"/>
          <w:sz w:val="24"/>
          <w:szCs w:val="24"/>
          <w:lang w:val="hy-AM"/>
        </w:rPr>
        <w:t xml:space="preserve">: Կան սահմանափակ տվյալներ երկվալենտ, քառավալենտ և իննավալենտ  պատվաստանյութերի փոխադարձ փոխարինման դեպքում իմունոգենության կամ արդյունավետության վերաբերյալ: Այդ պատվաստանյութերն ունեն տարբեր բնութագրեր, բաղադրիչներ, </w:t>
      </w:r>
      <w:r w:rsidR="00D547B6" w:rsidRPr="00286852">
        <w:rPr>
          <w:rFonts w:ascii="GHEA Grapalat" w:eastAsia="Times New Roman" w:hAnsi="GHEA Grapalat"/>
          <w:sz w:val="24"/>
          <w:szCs w:val="24"/>
          <w:lang w:val="hy-AM"/>
        </w:rPr>
        <w:t>որոնք</w:t>
      </w:r>
      <w:r w:rsidRPr="00286852">
        <w:rPr>
          <w:rFonts w:ascii="GHEA Grapalat" w:eastAsia="Times New Roman" w:hAnsi="GHEA Grapalat"/>
          <w:sz w:val="24"/>
          <w:szCs w:val="24"/>
          <w:lang w:val="hy-AM"/>
        </w:rPr>
        <w:t xml:space="preserve"> կարող են կիրառվել բոլոր պատվաստանյութերում: Սակայն եթե պատվաստանյութի նախնական դեղաչափ</w:t>
      </w:r>
      <w:r w:rsidR="00D547B6" w:rsidRPr="00286852">
        <w:rPr>
          <w:rFonts w:ascii="GHEA Grapalat" w:eastAsia="Times New Roman" w:hAnsi="GHEA Grapalat"/>
          <w:sz w:val="24"/>
          <w:szCs w:val="24"/>
          <w:lang w:val="hy-AM"/>
        </w:rPr>
        <w:t>ը</w:t>
      </w:r>
      <w:r w:rsidRPr="00286852">
        <w:rPr>
          <w:rFonts w:ascii="GHEA Grapalat" w:eastAsia="Times New Roman" w:hAnsi="GHEA Grapalat"/>
          <w:sz w:val="24"/>
          <w:szCs w:val="24"/>
          <w:lang w:val="hy-AM"/>
        </w:rPr>
        <w:t xml:space="preserve"> ստացել է մի պատվաստանյութով, հաջորդը մի ուրիշով, ապա դա չի խանգարում շարունակելու այլ տեսակի ՄՊՎ-ի դեմ պատվաստանյութով: </w:t>
      </w:r>
    </w:p>
    <w:p w:rsidR="00D547B6"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b/>
          <w:sz w:val="24"/>
          <w:szCs w:val="24"/>
          <w:lang w:val="hy-AM"/>
        </w:rPr>
        <w:t xml:space="preserve">Անվտանգություն: </w:t>
      </w:r>
      <w:r w:rsidRPr="00286852">
        <w:rPr>
          <w:rFonts w:ascii="GHEA Grapalat" w:eastAsia="Times New Roman" w:hAnsi="GHEA Grapalat"/>
          <w:sz w:val="24"/>
          <w:szCs w:val="24"/>
          <w:lang w:val="hy-AM"/>
        </w:rPr>
        <w:t>ՄՊՎ-ի պատվաստումից հետո առաջացած անբարեհաջող դեպքերն ընդհանուր առմամբ կարճատև են և ոչ լուրջ:</w:t>
      </w:r>
      <w:r w:rsidRPr="00286852">
        <w:rPr>
          <w:lang w:val="hy-AM"/>
        </w:rPr>
        <w:t xml:space="preserve"> </w:t>
      </w:r>
      <w:r w:rsidRPr="00286852">
        <w:rPr>
          <w:rFonts w:ascii="GHEA Grapalat" w:eastAsia="Times New Roman" w:hAnsi="GHEA Grapalat"/>
          <w:sz w:val="24"/>
          <w:szCs w:val="24"/>
          <w:lang w:val="hy-AM"/>
        </w:rPr>
        <w:t xml:space="preserve">Պատվաստանյութերը կարող են օգտագործվել այն մարդկանց մոտ, ովքեր ունեն իմունային անբավարարություն և / կամ ՄԻԱՎ վարակակիր են: Հղիության ընթացքում ՄՊՎ-ի դեմ պատվաստանյութի կիրառման անվտանգության վերաբերյալ տվյալները սահմանափակ են: Այդ պատճառով պետք է խուսափել հղի կանանց ՄՊՎ-ի դեմ պատվաստումներից: Եթե </w:t>
      </w:r>
      <w:r w:rsidRPr="00286852">
        <w:rPr>
          <w:rFonts w:ascii="GHEA Grapalat" w:eastAsia="Times New Roman" w:hAnsi="GHEA Grapalat"/>
          <w:sz w:val="24"/>
          <w:szCs w:val="24"/>
          <w:lang w:val="hy-AM"/>
        </w:rPr>
        <w:lastRenderedPageBreak/>
        <w:t>առաջին դեղաչափից հետո կինը հղիանում է, ապա մնացած դեղաչափերը պետք է հետաձգվեն մինչև հղիության ավարտը: Եթե պատահաբար պատվաստվել է կինը չիմանալով հղիության մասին, ապա դա ցուցում չէ հղիության ընդհատման համար: Կրծքով կերակրումը ՄՊՎ-ի դեմ պատվաստանյութի հակացուցում չէ: Ունեցած տվյալները չեն ենթադրում անբարեհաջող դեպքերի ռիսկի ավելացում: ՄՊՎ</w:t>
      </w:r>
      <w:r w:rsidR="00D547B6" w:rsidRPr="00286852">
        <w:rPr>
          <w:rFonts w:ascii="GHEA Grapalat" w:eastAsia="Times New Roman" w:hAnsi="GHEA Grapalat"/>
          <w:sz w:val="24"/>
          <w:szCs w:val="24"/>
          <w:lang w:val="hy-AM"/>
        </w:rPr>
        <w:t>-</w:t>
      </w:r>
      <w:r w:rsidRPr="00286852">
        <w:rPr>
          <w:rFonts w:ascii="GHEA Grapalat" w:eastAsia="Times New Roman" w:hAnsi="GHEA Grapalat"/>
          <w:sz w:val="24"/>
          <w:szCs w:val="24"/>
          <w:lang w:val="hy-AM"/>
        </w:rPr>
        <w:t xml:space="preserve">ի պատվաստանյութերը չպետք է տրվեն որևէ մեկին, ում մոտ պատվաստանյութի նախորդ դեղաչափից կամ պատվաստանյութի որևէ բաղադրիչից զարգացել է ծանր ալերգիկ ռեակցիա: </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b/>
          <w:sz w:val="24"/>
          <w:szCs w:val="24"/>
          <w:lang w:val="hy-AM"/>
        </w:rPr>
        <w:t xml:space="preserve">Ճանապարհորդներ և բուժաշխատողներ: </w:t>
      </w:r>
      <w:r w:rsidRPr="00286852">
        <w:rPr>
          <w:rFonts w:ascii="GHEA Grapalat" w:eastAsia="Times New Roman" w:hAnsi="GHEA Grapalat"/>
          <w:sz w:val="24"/>
          <w:szCs w:val="24"/>
          <w:lang w:val="hy-AM"/>
        </w:rPr>
        <w:t>Ճանապարհորդները և բուժաշխատողները ՄՊՎ-ի վարակման ռիսկի տակ չեն և պետք է հետևեն պատվաստումների ծրագրային խորհուրդներին ընդհանուր ազգաբնակչության համար:</w:t>
      </w:r>
    </w:p>
    <w:p w:rsidR="000E6F8B" w:rsidRPr="00286852" w:rsidRDefault="000E6F8B" w:rsidP="000E6F8B">
      <w:pPr>
        <w:spacing w:line="360" w:lineRule="auto"/>
        <w:jc w:val="both"/>
        <w:rPr>
          <w:rFonts w:ascii="GHEA Grapalat" w:eastAsia="Times New Roman" w:hAnsi="GHEA Grapalat"/>
          <w:sz w:val="24"/>
          <w:szCs w:val="24"/>
          <w:lang w:val="hy-AM"/>
        </w:rPr>
      </w:pPr>
      <w:r w:rsidRPr="00286852">
        <w:rPr>
          <w:rFonts w:ascii="GHEA Grapalat" w:eastAsia="Times New Roman" w:hAnsi="GHEA Grapalat"/>
          <w:b/>
          <w:sz w:val="24"/>
          <w:szCs w:val="24"/>
          <w:lang w:val="hy-AM"/>
        </w:rPr>
        <w:t xml:space="preserve">Մոնիթորինգ: </w:t>
      </w:r>
      <w:r w:rsidRPr="00286852">
        <w:rPr>
          <w:rFonts w:ascii="GHEA Grapalat" w:eastAsia="Times New Roman" w:hAnsi="GHEA Grapalat"/>
          <w:sz w:val="24"/>
          <w:szCs w:val="24"/>
          <w:lang w:val="hy-AM"/>
        </w:rPr>
        <w:t>Սեռական ակտիվ կյանքով ապրող կանանց մոտ ՄՊՎ-ի տարածվածության մոնիթորինգը կարող է ապահովել պատվաստանյութի արդյունավետության վաղ գնահատումը:</w:t>
      </w:r>
      <w:r w:rsidRPr="00286852">
        <w:rPr>
          <w:lang w:val="hy-AM"/>
        </w:rPr>
        <w:t xml:space="preserve"> </w:t>
      </w:r>
      <w:r w:rsidRPr="00286852">
        <w:rPr>
          <w:rFonts w:ascii="GHEA Grapalat" w:eastAsia="Times New Roman" w:hAnsi="GHEA Grapalat"/>
          <w:sz w:val="24"/>
          <w:szCs w:val="24"/>
          <w:lang w:val="hy-AM"/>
        </w:rPr>
        <w:t xml:space="preserve">Քանի որ դա պահանջում է ռեսուրսների առնվազն 5-10 տարի օգտագործում, այդ ռազմավարությունը </w:t>
      </w:r>
      <w:r w:rsidRPr="00286852">
        <w:rPr>
          <w:rFonts w:ascii="GHEA Grapalat" w:eastAsia="Times New Roman" w:hAnsi="GHEA Grapalat"/>
          <w:sz w:val="24"/>
          <w:szCs w:val="24"/>
          <w:lang w:val="hy-AM"/>
        </w:rPr>
        <w:lastRenderedPageBreak/>
        <w:t>հարմար չէ կամ չի համապատասխանում բոլոր երկրներին:</w:t>
      </w:r>
      <w:r w:rsidRPr="00286852">
        <w:rPr>
          <w:lang w:val="hy-AM"/>
        </w:rPr>
        <w:t xml:space="preserve"> </w:t>
      </w:r>
      <w:r w:rsidRPr="00286852">
        <w:rPr>
          <w:rFonts w:ascii="GHEA Grapalat" w:eastAsia="Times New Roman" w:hAnsi="GHEA Grapalat"/>
          <w:sz w:val="24"/>
          <w:szCs w:val="24"/>
          <w:lang w:val="hy-AM"/>
        </w:rPr>
        <w:t xml:space="preserve">Այնուամենայնիվ, բոլոր երկրները պետք է վերանայեն քաղցկեղային հիվանդությունների կամ արգանդի պարանոցի քաղցկեղի համապարփակ ռեգիստրների ստեղծման կամ հաշվետվական մեխանիզմների վերապատրաստման հարցերը: Քաղցկեղի ռեգիստրները բնակչության մակարդակով անհրաժեշտ են ՄՊՎ-ի դեմ պատվաստումների ազդեցության  և արգանդի պարանոցի քաղցկեղի սկրինինգի համար: ՄՊՎ-ի դեմ պատվաստումների անվտանգության մոնիթորինգի իրականացման համար անհրաժեշտ է համաճարակաբանական հսկողություն: Պատվաստումից հետո առաջացած որևէ լուրջ հետպատվաստումային անբարեհաջող դեպքի արագ և մանրակրկիտ հետազոտությունը կբերի Իմունականխարգելման ծրագրի նկատմամբ վստահության: </w:t>
      </w:r>
    </w:p>
    <w:p w:rsidR="000E6F8B" w:rsidRPr="00286852" w:rsidRDefault="000E6F8B" w:rsidP="000E6F8B">
      <w:pPr>
        <w:spacing w:line="360" w:lineRule="auto"/>
        <w:jc w:val="both"/>
        <w:rPr>
          <w:rFonts w:ascii="Times New Roman" w:eastAsia="Times New Roman" w:hAnsi="Times New Roman"/>
          <w:lang w:val="hy-AM"/>
        </w:rPr>
      </w:pPr>
      <w:r w:rsidRPr="00286852">
        <w:rPr>
          <w:rFonts w:ascii="GHEA Grapalat" w:eastAsia="Times New Roman" w:hAnsi="GHEA Grapalat"/>
          <w:b/>
          <w:sz w:val="24"/>
          <w:szCs w:val="24"/>
          <w:lang w:val="hy-AM"/>
        </w:rPr>
        <w:t>Գիտական հետազոտություններում առաջնահերթությունները</w:t>
      </w:r>
      <w:r w:rsidRPr="00286852">
        <w:rPr>
          <w:rFonts w:ascii="GHEA Grapalat" w:eastAsia="Times New Roman" w:hAnsi="GHEA Grapalat"/>
          <w:sz w:val="24"/>
          <w:szCs w:val="24"/>
          <w:lang w:val="hy-AM"/>
        </w:rPr>
        <w:t xml:space="preserve">: Հետագա գիտական հետազոտություններն անհրաժեշտ են երկարաժամկետ կլինիկական արդյունավետության և պաշտպանության շարունակականության տվյալների ստացման համար, հատկապես իննավալենտ պատվաստանյութի դեպքում, երբ կիրառվում է 2 դեղաչափանոց և 3 դեղաչափանոց պատվաստումների օրացույցով: Բազմաթիվ </w:t>
      </w:r>
      <w:r w:rsidRPr="00286852">
        <w:rPr>
          <w:rFonts w:ascii="GHEA Grapalat" w:eastAsia="Times New Roman" w:hAnsi="GHEA Grapalat"/>
          <w:sz w:val="24"/>
          <w:szCs w:val="24"/>
          <w:lang w:val="hy-AM"/>
        </w:rPr>
        <w:lastRenderedPageBreak/>
        <w:t>հետազոտություններ ցածր եկամուտ ունեցող երկրներում  ցույց են տվել, որ ազգաբնակչության առողջ կանանց և հատուկ խմբերում (օրինակ՝ ՄԻԱՎ վարակակիրներ, դեռահասների սնուցման խանգարումներ, անձինք, որոնք ապրում են մալարիայի առումով էնդեմիկ տարածքներում) կներկայացնեն լրացուցիչ տվյալներ պատվաստանյութի ազդեցության վերաբերյալ: Մինչև 9 տարեկան երեխաներին  ՄՊՎ-ի դեմ պատվաստանյութի ներմուծման արդյունավետության և ծախսարդյունավետության հարցերի վերաբերյալ մեկ դեղաչափանոց պատվաստումային օրացույցի, նրա  իմունոգենության, անվտանգության համար անհրաժեշտ են լրացուցիչ տվյալներ:</w:t>
      </w:r>
    </w:p>
    <w:p w:rsidR="00421CB1" w:rsidRPr="00286852" w:rsidRDefault="00421CB1" w:rsidP="00421CB1">
      <w:pPr>
        <w:jc w:val="both"/>
        <w:rPr>
          <w:rFonts w:ascii="GHEA Grapalat" w:eastAsia="Times New Roman" w:hAnsi="GHEA Grapalat"/>
          <w:color w:val="4B8DCD"/>
          <w:sz w:val="24"/>
          <w:szCs w:val="24"/>
          <w:lang w:val="hy-AM"/>
        </w:rPr>
      </w:pPr>
    </w:p>
    <w:p w:rsidR="0092304F" w:rsidRPr="00286852" w:rsidRDefault="0092304F" w:rsidP="0092304F">
      <w:pPr>
        <w:pStyle w:val="Notefiletan1p"/>
        <w:rPr>
          <w:rFonts w:ascii="GHEA Grapalat" w:hAnsi="GHEA Grapalat" w:cs="Times New Roman"/>
          <w:b/>
          <w:i/>
          <w:color w:val="auto"/>
          <w:sz w:val="28"/>
          <w:szCs w:val="28"/>
          <w:vertAlign w:val="superscript"/>
          <w:lang w:val="hy-AM"/>
        </w:rPr>
      </w:pPr>
      <w:r w:rsidRPr="00286852">
        <w:rPr>
          <w:rFonts w:ascii="GHEA Grapalat" w:hAnsi="GHEA Grapalat" w:cs="Times New Roman"/>
          <w:b/>
          <w:i/>
          <w:color w:val="auto"/>
          <w:sz w:val="28"/>
          <w:szCs w:val="28"/>
          <w:vertAlign w:val="superscript"/>
          <w:lang w:val="hy-AM"/>
        </w:rPr>
        <w:t>Հղումներ</w:t>
      </w:r>
    </w:p>
    <w:p w:rsidR="0092304F" w:rsidRPr="00286852" w:rsidRDefault="0092304F" w:rsidP="0092304F">
      <w:pPr>
        <w:pStyle w:val="Notefiletan1p"/>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w:t>
      </w:r>
      <w:r w:rsidRPr="00286852">
        <w:rPr>
          <w:rFonts w:ascii="Times New Roman" w:hAnsi="Times New Roman" w:cs="Times New Roman"/>
          <w:color w:val="auto"/>
          <w:sz w:val="20"/>
          <w:szCs w:val="20"/>
        </w:rPr>
        <w:tab/>
        <w:t>SAGE guidance for the development of evidence-based vaccine-related recommendations. Available at http://www.who.int/immunization/sage/Guidelines_development_recommendations.pdf, accessed February 2017.</w:t>
      </w:r>
    </w:p>
    <w:p w:rsidR="0092304F" w:rsidRPr="00286852" w:rsidRDefault="0092304F" w:rsidP="0092304F">
      <w:pPr>
        <w:pStyle w:val="Notefiletan"/>
        <w:rPr>
          <w:rFonts w:ascii="Times New Roman" w:hAnsi="Times New Roman" w:cs="Times New Roman"/>
          <w:color w:val="auto"/>
          <w:sz w:val="20"/>
          <w:szCs w:val="20"/>
          <w:lang w:val="de-CH"/>
        </w:rPr>
      </w:pPr>
      <w:r w:rsidRPr="00286852">
        <w:rPr>
          <w:rFonts w:ascii="Times New Roman" w:hAnsi="Times New Roman" w:cs="Times New Roman"/>
          <w:color w:val="auto"/>
          <w:sz w:val="20"/>
          <w:szCs w:val="20"/>
          <w:vertAlign w:val="superscript"/>
          <w:lang w:val="de-CH"/>
        </w:rPr>
        <w:t>2</w:t>
      </w:r>
      <w:r w:rsidRPr="00286852">
        <w:rPr>
          <w:rFonts w:ascii="Times New Roman" w:hAnsi="Times New Roman" w:cs="Times New Roman"/>
          <w:color w:val="auto"/>
          <w:sz w:val="20"/>
          <w:szCs w:val="20"/>
          <w:lang w:val="de-CH"/>
        </w:rPr>
        <w:tab/>
      </w:r>
      <w:r w:rsidRPr="00286852">
        <w:rPr>
          <w:rFonts w:ascii="Times New Roman" w:hAnsi="Times New Roman" w:cs="Times New Roman"/>
          <w:color w:val="auto"/>
          <w:sz w:val="20"/>
          <w:szCs w:val="20"/>
          <w:lang w:val="ru-RU"/>
        </w:rPr>
        <w:t>См</w:t>
      </w:r>
      <w:r w:rsidRPr="00286852">
        <w:rPr>
          <w:rFonts w:ascii="Times New Roman" w:hAnsi="Times New Roman" w:cs="Times New Roman"/>
          <w:color w:val="auto"/>
          <w:sz w:val="20"/>
          <w:szCs w:val="20"/>
          <w:lang w:val="en-US"/>
        </w:rPr>
        <w:t>.</w:t>
      </w:r>
      <w:r w:rsidRPr="00286852">
        <w:rPr>
          <w:rFonts w:ascii="Times New Roman" w:hAnsi="Times New Roman" w:cs="Times New Roman"/>
          <w:color w:val="auto"/>
          <w:sz w:val="20"/>
          <w:szCs w:val="20"/>
          <w:lang w:val="de-CH"/>
        </w:rPr>
        <w:t xml:space="preserve"> No. 43, 2014, pp. 465–492.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lang w:val="de-CH"/>
        </w:rPr>
        <w:t>3</w:t>
      </w:r>
      <w:r w:rsidRPr="00286852">
        <w:rPr>
          <w:rFonts w:ascii="Times New Roman" w:hAnsi="Times New Roman" w:cs="Times New Roman"/>
          <w:color w:val="auto"/>
          <w:sz w:val="20"/>
          <w:szCs w:val="20"/>
          <w:lang w:val="de-CH"/>
        </w:rPr>
        <w:tab/>
        <w:t xml:space="preserve">Background documents and presentations presented during the SAGE meeting in October 2016. </w:t>
      </w:r>
      <w:r w:rsidRPr="00286852">
        <w:rPr>
          <w:rFonts w:ascii="Times New Roman" w:hAnsi="Times New Roman" w:cs="Times New Roman"/>
          <w:color w:val="auto"/>
          <w:sz w:val="20"/>
          <w:szCs w:val="20"/>
        </w:rPr>
        <w:t>Available at http://www.who.int/immunization/sage/meetings/2016/october/presentations_background_docs/en/, accessed February 2017.</w:t>
      </w:r>
    </w:p>
    <w:p w:rsidR="0092304F" w:rsidRPr="00286852" w:rsidRDefault="0092304F" w:rsidP="0092304F">
      <w:pPr>
        <w:pStyle w:val="Notefiletanblanc"/>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lang w:val="it-IT"/>
        </w:rPr>
        <w:t>4</w:t>
      </w:r>
      <w:r w:rsidRPr="00286852">
        <w:rPr>
          <w:rFonts w:ascii="Times New Roman" w:hAnsi="Times New Roman" w:cs="Times New Roman"/>
          <w:color w:val="auto"/>
          <w:sz w:val="20"/>
          <w:szCs w:val="20"/>
          <w:lang w:val="it-IT"/>
        </w:rPr>
        <w:tab/>
      </w:r>
      <w:r w:rsidRPr="00286852">
        <w:rPr>
          <w:rFonts w:ascii="Times New Roman" w:hAnsi="Times New Roman" w:cs="Times New Roman"/>
          <w:color w:val="auto"/>
          <w:sz w:val="20"/>
          <w:szCs w:val="20"/>
          <w:lang w:val="ru-RU"/>
        </w:rPr>
        <w:t>См</w:t>
      </w:r>
      <w:r w:rsidRPr="00286852">
        <w:rPr>
          <w:rFonts w:ascii="Times New Roman" w:hAnsi="Times New Roman" w:cs="Times New Roman"/>
          <w:color w:val="auto"/>
          <w:sz w:val="20"/>
          <w:szCs w:val="20"/>
          <w:lang w:val="en-US"/>
        </w:rPr>
        <w:t>.</w:t>
      </w:r>
      <w:r w:rsidRPr="00286852">
        <w:rPr>
          <w:rFonts w:ascii="Times New Roman" w:hAnsi="Times New Roman" w:cs="Times New Roman"/>
          <w:color w:val="auto"/>
          <w:sz w:val="20"/>
          <w:szCs w:val="20"/>
          <w:lang w:val="it-IT"/>
        </w:rPr>
        <w:t xml:space="preserve"> No. 48, 2016, pp. 561–584.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lang w:val="it-IT"/>
        </w:rPr>
        <w:t>5</w:t>
      </w:r>
      <w:r w:rsidRPr="00286852">
        <w:rPr>
          <w:rFonts w:ascii="Times New Roman" w:hAnsi="Times New Roman" w:cs="Times New Roman"/>
          <w:color w:val="auto"/>
          <w:sz w:val="20"/>
          <w:szCs w:val="20"/>
          <w:lang w:val="it-IT"/>
        </w:rPr>
        <w:tab/>
        <w:t xml:space="preserve">HPV vaccine background document. </w:t>
      </w:r>
      <w:r w:rsidRPr="00286852">
        <w:rPr>
          <w:rFonts w:ascii="Times New Roman" w:hAnsi="Times New Roman" w:cs="Times New Roman"/>
          <w:color w:val="auto"/>
          <w:sz w:val="20"/>
          <w:szCs w:val="20"/>
        </w:rPr>
        <w:t>Available at http://www.who.int/immunization/sage/meetings/2016/october/1_HPV_vaccine_background_document_27Sept2016.pdf?ua=1,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w:t>
      </w:r>
      <w:r w:rsidRPr="00286852">
        <w:rPr>
          <w:rFonts w:ascii="Times New Roman" w:hAnsi="Times New Roman" w:cs="Times New Roman"/>
          <w:color w:val="auto"/>
          <w:sz w:val="20"/>
          <w:szCs w:val="20"/>
        </w:rPr>
        <w:tab/>
        <w:t>Bruni L et al. Cervical human papillomavirus prevalence in 5 continents: meta-analysis of 1 million women with normal cytological findings. J Infect Dis, 2010;202(12):1789–1799.</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7</w:t>
      </w:r>
      <w:r w:rsidRPr="00286852">
        <w:rPr>
          <w:rFonts w:ascii="Times New Roman" w:hAnsi="Times New Roman" w:cs="Times New Roman"/>
          <w:color w:val="auto"/>
          <w:sz w:val="20"/>
          <w:szCs w:val="20"/>
        </w:rPr>
        <w:tab/>
        <w:t>Smith JS et al. Age-specific prevalence of infection with human papillomavirus in females: a global review. J Adolesc Health. 2008;43:S5–S25. S25 e21-41.</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8</w:t>
      </w:r>
      <w:r w:rsidRPr="00286852">
        <w:rPr>
          <w:rFonts w:ascii="Times New Roman" w:hAnsi="Times New Roman" w:cs="Times New Roman"/>
          <w:color w:val="auto"/>
          <w:sz w:val="20"/>
          <w:szCs w:val="20"/>
        </w:rPr>
        <w:tab/>
        <w:t>Smith JS et al. Human papillomavirus type distribution in invasive cervical cancer and high-grade cervical lesions: a metaanalysis update. Int J Cancer, 2007;121:621–632.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w:t>
      </w:r>
      <w:r w:rsidRPr="00286852">
        <w:rPr>
          <w:rFonts w:ascii="Times New Roman" w:hAnsi="Times New Roman" w:cs="Times New Roman"/>
          <w:color w:val="auto"/>
          <w:sz w:val="20"/>
          <w:szCs w:val="20"/>
        </w:rPr>
        <w:tab/>
        <w:t xml:space="preserve">Insinga RP et al. Progression and regression of incident cervical HPV 6, 11, 16 and 18 infections in young women. Infectious Agents and Cancer, 2007; 2:15.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w:t>
      </w:r>
      <w:r w:rsidRPr="00286852">
        <w:rPr>
          <w:rFonts w:ascii="Times New Roman" w:hAnsi="Times New Roman" w:cs="Times New Roman"/>
          <w:color w:val="auto"/>
          <w:sz w:val="20"/>
          <w:szCs w:val="20"/>
        </w:rPr>
        <w:tab/>
        <w:t xml:space="preserve">Smith JS et al. Age-specific prevalence of human papillomavirus infection in males: a global review. J Adolesc Health, 2011;48(6):540–552.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w:t>
      </w:r>
      <w:r w:rsidRPr="00286852">
        <w:rPr>
          <w:rFonts w:ascii="Times New Roman" w:hAnsi="Times New Roman" w:cs="Times New Roman"/>
          <w:color w:val="auto"/>
          <w:sz w:val="20"/>
          <w:szCs w:val="20"/>
        </w:rPr>
        <w:tab/>
        <w:t>Schim van der Loeff MF et al. HPV and Anal Cancer in HIV-Infected Individuals: A Review. Curr HIV/AIDS Rep. 2014; 11(3):250–262.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w:t>
      </w:r>
      <w:r w:rsidRPr="00286852">
        <w:rPr>
          <w:rFonts w:ascii="Times New Roman" w:hAnsi="Times New Roman" w:cs="Times New Roman"/>
          <w:color w:val="auto"/>
          <w:sz w:val="20"/>
          <w:szCs w:val="20"/>
        </w:rPr>
        <w:tab/>
        <w:t>Vardas E et al. External Genital Human Papillomavirus Prevalence and Associated Factors Among Heterosexual Men on 5 Continents. JID, 2011;203(1): 58–65.</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13</w:t>
      </w:r>
      <w:r w:rsidRPr="00286852">
        <w:rPr>
          <w:rFonts w:ascii="Times New Roman" w:hAnsi="Times New Roman" w:cs="Times New Roman"/>
          <w:color w:val="auto"/>
          <w:sz w:val="20"/>
          <w:szCs w:val="20"/>
        </w:rPr>
        <w:tab/>
        <w:t xml:space="preserve">Olesen TB et al. Human papillomavirus prevalence among men in sub-Saharan Africa: a systematic review and meta-analysis. Sex Transm Infect, 2014 May; 90:455–462. </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14</w:t>
      </w:r>
      <w:r w:rsidRPr="00286852">
        <w:rPr>
          <w:rFonts w:ascii="Times New Roman" w:hAnsi="Times New Roman" w:cs="Times New Roman"/>
          <w:color w:val="auto"/>
          <w:sz w:val="20"/>
          <w:szCs w:val="20"/>
        </w:rPr>
        <w:tab/>
        <w:t>Walboomers JL et al. Human papillomavirus is a necessary cause of invasive cervical cancer worldwide. J. Pathol, 1999;189:12–19.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15</w:t>
      </w:r>
      <w:r w:rsidRPr="00286852">
        <w:rPr>
          <w:rFonts w:ascii="Times New Roman" w:hAnsi="Times New Roman" w:cs="Times New Roman"/>
          <w:color w:val="auto"/>
          <w:sz w:val="20"/>
          <w:szCs w:val="20"/>
        </w:rPr>
        <w:tab/>
        <w:t>Bosch FX et al. The causal relation between human papillomavirus and cervical cancer. J Clin Pathol, 2002;55(4):244–265.</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16</w:t>
      </w:r>
      <w:r w:rsidRPr="00286852">
        <w:rPr>
          <w:rFonts w:ascii="Times New Roman" w:hAnsi="Times New Roman" w:cs="Times New Roman"/>
          <w:color w:val="auto"/>
          <w:sz w:val="20"/>
          <w:szCs w:val="20"/>
        </w:rPr>
        <w:tab/>
        <w:t>De Martel C et al. Worldwide burden of cancer attributable to HPV by site, country and HPV type. IJC 2017 [in Press].</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17</w:t>
      </w:r>
      <w:r w:rsidRPr="00286852">
        <w:rPr>
          <w:rFonts w:ascii="Times New Roman" w:hAnsi="Times New Roman" w:cs="Times New Roman"/>
          <w:color w:val="auto"/>
          <w:sz w:val="20"/>
          <w:szCs w:val="20"/>
        </w:rPr>
        <w:tab/>
        <w:t>de Sanjose S et al. Human papillomavirus genotype attribution in invasive cervical cancer: a retrospective cross-sectional worldwide study. Lancet Oncology, 2010;11:1048–1056.</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18</w:t>
      </w:r>
      <w:r w:rsidRPr="00286852">
        <w:rPr>
          <w:rFonts w:ascii="Times New Roman" w:hAnsi="Times New Roman" w:cs="Times New Roman"/>
          <w:color w:val="auto"/>
          <w:sz w:val="20"/>
          <w:szCs w:val="20"/>
        </w:rPr>
        <w:tab/>
        <w:t xml:space="preserve">Serrano B et al. Human papillomavirus genotype attribution for HPVs 6,11,16,18,31,33,45,52 and 58 in female anogenital lesions. EurJCancer. 2015;51(13):1732–1741. </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19</w:t>
      </w:r>
      <w:r w:rsidRPr="00286852">
        <w:rPr>
          <w:rFonts w:ascii="Times New Roman" w:hAnsi="Times New Roman" w:cs="Times New Roman"/>
          <w:color w:val="auto"/>
          <w:sz w:val="20"/>
          <w:szCs w:val="20"/>
        </w:rPr>
        <w:tab/>
        <w:t xml:space="preserve">Greer CE et al. Human papillomavirus (HPV) type distribution and serological response to HPV type 6 virus-like particles in patients with genital warts. J Clin Microbiol, 1995;33(8):2058–2063.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20</w:t>
      </w:r>
      <w:r w:rsidRPr="00286852">
        <w:rPr>
          <w:rFonts w:ascii="Times New Roman" w:hAnsi="Times New Roman" w:cs="Times New Roman"/>
          <w:color w:val="auto"/>
          <w:sz w:val="20"/>
          <w:szCs w:val="20"/>
        </w:rPr>
        <w:tab/>
        <w:t>Sturegard E et al. Human papillomavirus typing in reporting condyloma. Sex Transm Dis, 2013;40: 123–129.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21</w:t>
      </w:r>
      <w:r w:rsidRPr="00286852">
        <w:rPr>
          <w:rFonts w:ascii="Times New Roman" w:hAnsi="Times New Roman" w:cs="Times New Roman"/>
          <w:color w:val="auto"/>
          <w:sz w:val="20"/>
          <w:szCs w:val="20"/>
        </w:rPr>
        <w:tab/>
        <w:t>Patel H et al. Systematic review of the incidence and prevalence of genital warts. BMC Infectious Diseases, 2013;13:39.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22</w:t>
      </w:r>
      <w:r w:rsidRPr="00286852">
        <w:rPr>
          <w:rFonts w:ascii="Times New Roman" w:hAnsi="Times New Roman" w:cs="Times New Roman"/>
          <w:color w:val="auto"/>
          <w:sz w:val="20"/>
          <w:szCs w:val="20"/>
        </w:rPr>
        <w:tab/>
        <w:t>International Human Papillomavirus Reference Center. Human papillomavirus reference clones. http://www.hpvcenter.se/html/refclones.html,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23</w:t>
      </w:r>
      <w:r w:rsidRPr="00286852">
        <w:rPr>
          <w:rFonts w:ascii="Times New Roman" w:hAnsi="Times New Roman" w:cs="Times New Roman"/>
          <w:color w:val="auto"/>
          <w:sz w:val="20"/>
          <w:szCs w:val="20"/>
        </w:rPr>
        <w:tab/>
        <w:t>Doorbar J et al. The biology and life-cycle of human papillomaviruses. Vaccine, 2012; 30S: F55-F70.</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24</w:t>
      </w:r>
      <w:r w:rsidRPr="00286852">
        <w:rPr>
          <w:rFonts w:ascii="Times New Roman" w:hAnsi="Times New Roman" w:cs="Times New Roman"/>
          <w:color w:val="auto"/>
          <w:sz w:val="20"/>
          <w:szCs w:val="20"/>
        </w:rPr>
        <w:tab/>
        <w:t>International Agency for Research on Cancer. IARC monographs on the evaluation of carcinogenic risks to humans: human papillomaviruses. Vol. 90. Lyon, IARC, 2007. Available at http://monographs.iarc.fr/ENG/Monographs/vol90/mono90.pdf,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25</w:t>
      </w:r>
      <w:r w:rsidRPr="00286852">
        <w:rPr>
          <w:rFonts w:ascii="Times New Roman" w:hAnsi="Times New Roman" w:cs="Times New Roman"/>
          <w:color w:val="auto"/>
          <w:sz w:val="20"/>
          <w:szCs w:val="20"/>
        </w:rPr>
        <w:tab/>
        <w:t>International Agency for Research on Cancer. IARC Working Group Report: Primary End-Points for Prophylactic HPV Vaccine Trials. Vol 7. Lyon, IARC, 2014. Available at http://www.iarc.fr/en/publications/pdfs-online/wrk/wrk7/Prophylactic_HPV_VaccineTrials.pdf,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26</w:t>
      </w:r>
      <w:r w:rsidRPr="00286852">
        <w:rPr>
          <w:rFonts w:ascii="Times New Roman" w:hAnsi="Times New Roman" w:cs="Times New Roman"/>
          <w:color w:val="auto"/>
          <w:sz w:val="20"/>
          <w:szCs w:val="20"/>
        </w:rPr>
        <w:tab/>
        <w:t>Denny LA et al. Human Papillomavirus, human immunodeficiency virus and immunosuppression. Vaccine, 2012;30S:F168-74.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27</w:t>
      </w:r>
      <w:r w:rsidRPr="00286852">
        <w:rPr>
          <w:rFonts w:ascii="Times New Roman" w:hAnsi="Times New Roman" w:cs="Times New Roman"/>
          <w:color w:val="auto"/>
          <w:sz w:val="20"/>
          <w:szCs w:val="20"/>
        </w:rPr>
        <w:tab/>
        <w:t>Plummer M et al. Global burden of cancers attributable to infections in 2012: a synthetic analysis. Lancet Glob Health 2016; 4: e609–16.</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28</w:t>
      </w:r>
      <w:r w:rsidRPr="00286852">
        <w:rPr>
          <w:rFonts w:ascii="Times New Roman" w:hAnsi="Times New Roman" w:cs="Times New Roman"/>
          <w:color w:val="auto"/>
          <w:sz w:val="20"/>
          <w:szCs w:val="20"/>
        </w:rPr>
        <w:tab/>
        <w:t>Larson DA, Derkay CS. Epidemiology of recurrent respiratory papillomatosis. APMIS 2010;118:450–454.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29</w:t>
      </w:r>
      <w:r w:rsidRPr="00286852">
        <w:rPr>
          <w:rFonts w:ascii="Times New Roman" w:hAnsi="Times New Roman" w:cs="Times New Roman"/>
          <w:color w:val="auto"/>
          <w:sz w:val="20"/>
          <w:szCs w:val="20"/>
        </w:rPr>
        <w:tab/>
        <w:t>Stanley MA. Epithelial cell responses to infection with human papillomavirus. Clin Microbiol Rev, 2012;25(2):215–222.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30</w:t>
      </w:r>
      <w:r w:rsidRPr="00286852">
        <w:rPr>
          <w:rFonts w:ascii="Times New Roman" w:hAnsi="Times New Roman" w:cs="Times New Roman"/>
          <w:color w:val="auto"/>
          <w:sz w:val="20"/>
          <w:szCs w:val="20"/>
        </w:rPr>
        <w:tab/>
        <w:t>Giuliano A et al. Incidence and clearance of genital human papillomavirus infection in men (HIM): a cohort study. Lancet, 2011; 377(9769): 932–940.</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31</w:t>
      </w:r>
      <w:r w:rsidRPr="00286852">
        <w:rPr>
          <w:rFonts w:ascii="Times New Roman" w:hAnsi="Times New Roman" w:cs="Times New Roman"/>
          <w:color w:val="auto"/>
          <w:sz w:val="20"/>
          <w:szCs w:val="20"/>
        </w:rPr>
        <w:tab/>
        <w:t xml:space="preserve">Stanley MA et al. Host responses to infection with human papillomavirus. JC Curr Probl Dermatol, 2014;45:58–74. </w:t>
      </w:r>
    </w:p>
    <w:p w:rsidR="0092304F" w:rsidRPr="00286852" w:rsidRDefault="0092304F" w:rsidP="0092304F">
      <w:pPr>
        <w:pStyle w:val="Notefiletan"/>
        <w:rPr>
          <w:rFonts w:ascii="Times New Roman" w:hAnsi="Times New Roman" w:cs="Times New Roman"/>
          <w:color w:val="auto"/>
          <w:spacing w:val="-1"/>
          <w:sz w:val="20"/>
          <w:szCs w:val="20"/>
        </w:rPr>
      </w:pPr>
      <w:r w:rsidRPr="00286852">
        <w:rPr>
          <w:rFonts w:ascii="Times New Roman" w:hAnsi="Times New Roman" w:cs="Times New Roman"/>
          <w:color w:val="auto"/>
          <w:spacing w:val="-1"/>
          <w:sz w:val="20"/>
          <w:szCs w:val="20"/>
          <w:vertAlign w:val="superscript"/>
        </w:rPr>
        <w:t>32</w:t>
      </w:r>
      <w:r w:rsidRPr="00286852">
        <w:rPr>
          <w:rFonts w:ascii="Times New Roman" w:hAnsi="Times New Roman" w:cs="Times New Roman"/>
          <w:color w:val="auto"/>
          <w:spacing w:val="-1"/>
          <w:sz w:val="20"/>
          <w:szCs w:val="20"/>
        </w:rPr>
        <w:tab/>
        <w:t xml:space="preserve">WHO guidelines for screening and treatment of precancerous lesions for cervical cancer prevention. World Health Organization, Geneva, 2013. Available at </w:t>
      </w:r>
      <w:r w:rsidRPr="00286852">
        <w:rPr>
          <w:rStyle w:val="Hyperlien"/>
          <w:color w:val="auto"/>
          <w:spacing w:val="-1"/>
        </w:rPr>
        <w:t>http://apps.who.int/iris/bitstream/10665/94830/1/9789241548694_eng.pdf, accessed February 2017</w:t>
      </w:r>
      <w:r w:rsidRPr="00286852">
        <w:rPr>
          <w:rFonts w:ascii="Times New Roman" w:hAnsi="Times New Roman" w:cs="Times New Roman"/>
          <w:color w:val="auto"/>
          <w:spacing w:val="-1"/>
          <w:sz w:val="20"/>
          <w:szCs w:val="20"/>
        </w:rPr>
        <w:t>.</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33</w:t>
      </w:r>
      <w:r w:rsidRPr="00286852">
        <w:rPr>
          <w:rFonts w:ascii="Times New Roman" w:hAnsi="Times New Roman" w:cs="Times New Roman"/>
          <w:color w:val="auto"/>
          <w:sz w:val="20"/>
          <w:szCs w:val="20"/>
        </w:rPr>
        <w:tab/>
        <w:t xml:space="preserve">WHO guidance note. Comprehensive cervical cancer prevention and control: a </w:t>
      </w:r>
      <w:r w:rsidRPr="00286852">
        <w:rPr>
          <w:rFonts w:ascii="Times New Roman" w:hAnsi="Times New Roman" w:cs="Times New Roman"/>
          <w:color w:val="auto"/>
          <w:sz w:val="20"/>
          <w:szCs w:val="20"/>
        </w:rPr>
        <w:br/>
        <w:t xml:space="preserve">healthier future for girls and women. World Health Organization, Geneva, 2013. Available at </w:t>
      </w:r>
      <w:r w:rsidRPr="00286852">
        <w:rPr>
          <w:rStyle w:val="Hyperlien"/>
          <w:color w:val="auto"/>
        </w:rPr>
        <w:t>http://apps.who.int/iris/bitstream/10665/78128/3/9789241505147_eng.pdf?ua=1</w:t>
      </w:r>
      <w:r w:rsidRPr="00286852">
        <w:rPr>
          <w:rFonts w:ascii="Times New Roman" w:hAnsi="Times New Roman" w:cs="Times New Roman"/>
          <w:color w:val="auto"/>
          <w:sz w:val="20"/>
          <w:szCs w:val="20"/>
        </w:rPr>
        <w:t>,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34</w:t>
      </w:r>
      <w:r w:rsidRPr="00286852">
        <w:rPr>
          <w:rFonts w:ascii="Times New Roman" w:hAnsi="Times New Roman" w:cs="Times New Roman"/>
          <w:color w:val="auto"/>
          <w:sz w:val="20"/>
          <w:szCs w:val="20"/>
        </w:rPr>
        <w:tab/>
        <w:t xml:space="preserve">WHO guidelines: use of cryotherapy for cervical intraepithelial neoplasia. World Health Organization, Geneva, 2011.  Available at </w:t>
      </w:r>
      <w:r w:rsidRPr="00286852">
        <w:rPr>
          <w:rStyle w:val="Hyperlien"/>
          <w:color w:val="auto"/>
        </w:rPr>
        <w:t>http://whqlibdoc.who.int/publications/2011/9789241502856_eng.pdf?ua=</w:t>
      </w:r>
      <w:r w:rsidRPr="00286852">
        <w:rPr>
          <w:rFonts w:ascii="Times New Roman" w:hAnsi="Times New Roman" w:cs="Times New Roman"/>
          <w:color w:val="auto"/>
          <w:sz w:val="20"/>
          <w:szCs w:val="20"/>
        </w:rPr>
        <w:t>,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35</w:t>
      </w:r>
      <w:r w:rsidRPr="00286852">
        <w:rPr>
          <w:rFonts w:ascii="Times New Roman" w:hAnsi="Times New Roman" w:cs="Times New Roman"/>
          <w:color w:val="auto"/>
          <w:sz w:val="20"/>
          <w:szCs w:val="20"/>
        </w:rPr>
        <w:tab/>
        <w:t>Gardasil 9. Food and Drug Administration. Available at https://www.fda.gov/downloads/BiologicsBloodVaccines/Vaccines/ApprovedProducts/UCM426457.pdf,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36</w:t>
      </w:r>
      <w:r w:rsidRPr="00286852">
        <w:rPr>
          <w:rFonts w:ascii="Times New Roman" w:hAnsi="Times New Roman" w:cs="Times New Roman"/>
          <w:color w:val="auto"/>
          <w:sz w:val="20"/>
          <w:szCs w:val="20"/>
        </w:rPr>
        <w:tab/>
        <w:t>WHO/ Immunization,Vaccines and Biologicals database, as of 31 March 2017. Available at http://www.who.int/entity/immunization/monitoring_surveillance/VaccineIntroStatus.pptx, accessed February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37</w:t>
      </w:r>
      <w:r w:rsidRPr="00286852">
        <w:rPr>
          <w:rFonts w:ascii="Times New Roman" w:hAnsi="Times New Roman" w:cs="Times New Roman"/>
          <w:color w:val="auto"/>
          <w:sz w:val="20"/>
          <w:szCs w:val="20"/>
        </w:rPr>
        <w:tab/>
        <w:t>Cervarix. Summary of Product Characteristics. European Medicines Agency. Available at http://www.ema.europa.eu/docs/en_GB/document_library/EPAR_-_Product_Information/human/000721/WC500024632.pdf, accessed February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38</w:t>
      </w:r>
      <w:r w:rsidRPr="00286852">
        <w:rPr>
          <w:rFonts w:ascii="Times New Roman" w:hAnsi="Times New Roman" w:cs="Times New Roman"/>
          <w:color w:val="auto"/>
          <w:sz w:val="20"/>
          <w:szCs w:val="20"/>
        </w:rPr>
        <w:tab/>
        <w:t>Gardasil. Summary of Product Characteristics. European Medicines Agency. Available at http://www.ema.europa.eu/docs/en_GB/document_library/EPAR_-_Product_Information/human/000703/WC500021142.pdf,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39</w:t>
      </w:r>
      <w:r w:rsidRPr="00286852">
        <w:rPr>
          <w:rFonts w:ascii="Times New Roman" w:hAnsi="Times New Roman" w:cs="Times New Roman"/>
          <w:color w:val="auto"/>
          <w:sz w:val="20"/>
          <w:szCs w:val="20"/>
        </w:rPr>
        <w:tab/>
        <w:t>Gardasil 9. Summary of Product Characteristics. European Medicines Agency. Available at http://www.ema.europa.eu/docs/en_GB/document_library/EPAR_-_Product_Information/human/003852/WC500189111.pdf, accessed February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40</w:t>
      </w:r>
      <w:r w:rsidRPr="00286852">
        <w:rPr>
          <w:rFonts w:ascii="Times New Roman" w:hAnsi="Times New Roman" w:cs="Times New Roman"/>
          <w:color w:val="auto"/>
          <w:sz w:val="20"/>
          <w:szCs w:val="20"/>
        </w:rPr>
        <w:tab/>
        <w:t>Giannini SL et al. Enhanced humoral and memory B cellular immunity using HPV16/18 L1 VLP vaccine formulated with the MPL/aluminium salt combination (AS04) compared to aluminium salt only. Vaccine, 2006;24(33-34):5937–5949.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41</w:t>
      </w:r>
      <w:r w:rsidRPr="00286852">
        <w:rPr>
          <w:rFonts w:ascii="Times New Roman" w:hAnsi="Times New Roman" w:cs="Times New Roman"/>
          <w:color w:val="auto"/>
          <w:sz w:val="20"/>
          <w:szCs w:val="20"/>
        </w:rPr>
        <w:tab/>
        <w:t xml:space="preserve">Dauner JG et al. Characterization of the HPV-specific memory B cell and systemic antibody responses in women receiving an unadjuvanted HPV16 L1 VLP vaccine. Vaccine, 2010;28(33):5407–5413.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42</w:t>
      </w:r>
      <w:r w:rsidRPr="00286852">
        <w:rPr>
          <w:rFonts w:ascii="Times New Roman" w:hAnsi="Times New Roman" w:cs="Times New Roman"/>
          <w:color w:val="auto"/>
          <w:sz w:val="20"/>
          <w:szCs w:val="20"/>
        </w:rPr>
        <w:tab/>
        <w:t>Safaeian M et al. Durable antibody responses following one dose of the bivalent human papillomavirus L1 virus-like particle vaccine in the Costa Rica vaccine trial. Cancer Prev Res, 2013; 6:1242–1250.</w:t>
      </w:r>
    </w:p>
    <w:p w:rsidR="0092304F" w:rsidRPr="00286852" w:rsidRDefault="0092304F" w:rsidP="0092304F">
      <w:pPr>
        <w:pStyle w:val="Notefiletanblanc"/>
        <w:rPr>
          <w:rFonts w:ascii="Times New Roman" w:hAnsi="Times New Roman" w:cs="Times New Roman"/>
          <w:color w:val="auto"/>
          <w:spacing w:val="-1"/>
          <w:sz w:val="20"/>
          <w:szCs w:val="20"/>
        </w:rPr>
      </w:pPr>
      <w:r w:rsidRPr="00286852">
        <w:rPr>
          <w:rFonts w:ascii="Times New Roman" w:hAnsi="Times New Roman" w:cs="Times New Roman"/>
          <w:color w:val="auto"/>
          <w:spacing w:val="-1"/>
          <w:sz w:val="20"/>
          <w:szCs w:val="20"/>
          <w:vertAlign w:val="superscript"/>
        </w:rPr>
        <w:t>43</w:t>
      </w:r>
      <w:r w:rsidRPr="00286852">
        <w:rPr>
          <w:rFonts w:ascii="Times New Roman" w:hAnsi="Times New Roman" w:cs="Times New Roman"/>
          <w:color w:val="auto"/>
          <w:spacing w:val="-1"/>
          <w:sz w:val="20"/>
          <w:szCs w:val="20"/>
        </w:rPr>
        <w:tab/>
        <w:t xml:space="preserve">Zeybek B, Rodriguez A. Comparison of long term impact and clinical outcomes of </w:t>
      </w:r>
      <w:r w:rsidRPr="00286852">
        <w:rPr>
          <w:rFonts w:ascii="Times New Roman" w:hAnsi="Times New Roman" w:cs="Times New Roman"/>
          <w:color w:val="auto"/>
          <w:spacing w:val="-1"/>
          <w:sz w:val="20"/>
          <w:szCs w:val="20"/>
        </w:rPr>
        <w:br/>
        <w:t xml:space="preserve">reduced dose vs standard dose quadrivalent human papillomavirus vaccine in </w:t>
      </w:r>
      <w:r w:rsidRPr="00286852">
        <w:rPr>
          <w:rFonts w:ascii="Times New Roman" w:hAnsi="Times New Roman" w:cs="Times New Roman"/>
          <w:color w:val="auto"/>
          <w:spacing w:val="-1"/>
          <w:sz w:val="20"/>
          <w:szCs w:val="20"/>
        </w:rPr>
        <w:br/>
        <w:t xml:space="preserve">the United States: a database study. Paper presented at: 48th Annual Meeting of the </w:t>
      </w:r>
      <w:r w:rsidRPr="00286852">
        <w:rPr>
          <w:rFonts w:ascii="Times New Roman" w:hAnsi="Times New Roman" w:cs="Times New Roman"/>
          <w:color w:val="auto"/>
          <w:spacing w:val="-1"/>
          <w:sz w:val="20"/>
          <w:szCs w:val="20"/>
        </w:rPr>
        <w:br/>
        <w:t>Society of Gynecologic Oncology; 12–15 March 2017; National Harbor, MD. Available at https://www.mdlinx.com/psychiatry/conference-abstract.cfm/60950/?conf_id=239030&amp;searchstring=&amp;coverage_day=0&amp;nonus=0&amp;page=1, accessed May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44</w:t>
      </w:r>
      <w:r w:rsidRPr="00286852">
        <w:rPr>
          <w:rFonts w:ascii="Times New Roman" w:hAnsi="Times New Roman" w:cs="Times New Roman"/>
          <w:color w:val="auto"/>
          <w:sz w:val="20"/>
          <w:szCs w:val="20"/>
        </w:rPr>
        <w:tab/>
        <w:t>Recommendations to assure the quality, safety and efficacy of recombinant human papillomavirus virus-like particle vaccines. Available at http://www.who.int/entity/biologicals/areas/vaccines/Annex_4_Recommendations_recombinant_human_papillomavirus_virus-like_particle_vaccines.pdf?ua=1,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45</w:t>
      </w:r>
      <w:r w:rsidRPr="00286852">
        <w:rPr>
          <w:rFonts w:ascii="Times New Roman" w:hAnsi="Times New Roman" w:cs="Times New Roman"/>
          <w:color w:val="auto"/>
          <w:sz w:val="20"/>
          <w:szCs w:val="20"/>
        </w:rPr>
        <w:tab/>
        <w:t>WHO Human papillomavirus laboratory manual. Available at http://apps.who.int/iris/bitstream/10665/70505/1/WHO_IVB_10.12_eng.pdf, accessed March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46</w:t>
      </w:r>
      <w:r w:rsidRPr="00286852">
        <w:rPr>
          <w:rFonts w:ascii="Times New Roman" w:hAnsi="Times New Roman" w:cs="Times New Roman"/>
          <w:color w:val="auto"/>
          <w:sz w:val="20"/>
          <w:szCs w:val="20"/>
        </w:rPr>
        <w:tab/>
        <w:t>Schiller JT et al. A review of clinical trials of human papillomavirus prophylactic vaccines. Vaccine, 2012;30 Suppl 5:F123-38.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47</w:t>
      </w:r>
      <w:r w:rsidRPr="00286852">
        <w:rPr>
          <w:rFonts w:ascii="Times New Roman" w:hAnsi="Times New Roman" w:cs="Times New Roman"/>
          <w:color w:val="auto"/>
          <w:sz w:val="20"/>
          <w:szCs w:val="20"/>
        </w:rPr>
        <w:tab/>
        <w:t>Van Damme P et al. Immunogenicity and safety of a 9-valent HPV vaccine. Pediatrics. 2015;136(1):e28–39.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48</w:t>
      </w:r>
      <w:r w:rsidRPr="00286852">
        <w:rPr>
          <w:rFonts w:ascii="Times New Roman" w:hAnsi="Times New Roman" w:cs="Times New Roman"/>
          <w:color w:val="auto"/>
          <w:sz w:val="20"/>
          <w:szCs w:val="20"/>
        </w:rPr>
        <w:tab/>
        <w:t>Naud PS et al. Sustained efficacy, immunogenicity, and safety of the HPV-16/18 AS04-adjuvanted vaccine. Hum Vaccin Immunother. 2014 Aug; 10(8): 2147–2162.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49</w:t>
      </w:r>
      <w:r w:rsidRPr="00286852">
        <w:rPr>
          <w:rFonts w:ascii="Times New Roman" w:hAnsi="Times New Roman" w:cs="Times New Roman"/>
          <w:color w:val="auto"/>
          <w:sz w:val="20"/>
          <w:szCs w:val="20"/>
        </w:rPr>
        <w:tab/>
        <w:t>Schwarz TF et al. 10-Year Follow-Up On Immunogenicity And Safety Of The Human Papillomavirus (HPV)-16/18 As04-Adjuvanted Vaccine Administered To 10–14-Year-Old Girls. Abstract at WSPID 2015, Rio de Janeiro, Brazil. Available at http://wspid.kenes.com/Documents/WSPID%20All%20Abstracts.pdf, accessed April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50</w:t>
      </w:r>
      <w:r w:rsidRPr="00286852">
        <w:rPr>
          <w:rFonts w:ascii="Times New Roman" w:hAnsi="Times New Roman" w:cs="Times New Roman"/>
          <w:color w:val="auto"/>
          <w:sz w:val="20"/>
          <w:szCs w:val="20"/>
        </w:rPr>
        <w:tab/>
        <w:t>Nygard M et al. Evaluation of the Long-Term Anti-Human Papillomavirus 6 (HPV6), -11, -16, and -18 Immune Responses Generated by the Quadrivalent HPV Vaccine. Clin Vaccine Immunology 2015;22(8):943–948.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51</w:t>
      </w:r>
      <w:r w:rsidRPr="00286852">
        <w:rPr>
          <w:rFonts w:ascii="Times New Roman" w:hAnsi="Times New Roman" w:cs="Times New Roman"/>
          <w:color w:val="auto"/>
          <w:sz w:val="20"/>
          <w:szCs w:val="20"/>
        </w:rPr>
        <w:tab/>
        <w:t>Joura EA. Introduction of Immune Memory Following Administration of the 9-valent HPV vaccine. European Research Organisation on Genital Infection and Neoplasia (EUROGIN) Salzburg, Austria. 15–18 June 2016. Presentation OC 06-02. Available at: http://eurogin.com/2016/images/doc/eurogin-2016-abstracts-part-2.pdf, accessed April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52</w:t>
      </w:r>
      <w:r w:rsidRPr="00286852">
        <w:rPr>
          <w:rFonts w:ascii="Times New Roman" w:hAnsi="Times New Roman" w:cs="Times New Roman"/>
          <w:color w:val="auto"/>
          <w:sz w:val="20"/>
          <w:szCs w:val="20"/>
        </w:rPr>
        <w:tab/>
        <w:t>Kjear SK et al. A pooled analysis of continued prophylactic efficacy of quadrivalent human papillomavirus (types 6/11/16/18) vaccine against high-grade cervical and external genital lesions. Cancer Prev Res 2009; 2:868–878.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53</w:t>
      </w:r>
      <w:r w:rsidRPr="00286852">
        <w:rPr>
          <w:rFonts w:ascii="Times New Roman" w:hAnsi="Times New Roman" w:cs="Times New Roman"/>
          <w:color w:val="auto"/>
          <w:sz w:val="20"/>
          <w:szCs w:val="20"/>
        </w:rPr>
        <w:tab/>
        <w:t>Garland SM et al. Impact and Effectiveness of the Quadrivalent Human Papillomavirus Vaccine: A Systematic Review of 10 Years of Real-world Experience. Clin Infect Dis. 2016 Aug 15; 63(4): 519–527.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54</w:t>
      </w:r>
      <w:r w:rsidRPr="00286852">
        <w:rPr>
          <w:rFonts w:ascii="Times New Roman" w:hAnsi="Times New Roman" w:cs="Times New Roman"/>
          <w:color w:val="auto"/>
          <w:sz w:val="20"/>
          <w:szCs w:val="20"/>
        </w:rPr>
        <w:tab/>
        <w:t>Lehtinen M et al. Overall efficacy of HPV-16/18 AS04-adjuvanted vaccine against grade 3 or greater cervical intraepithelial neoplasia: 4-year end-of-study analysis of the randomised, double-blind PATRICIA trial.Lancet Oncol 2012; 13: 89–99.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55</w:t>
      </w:r>
      <w:r w:rsidRPr="00286852">
        <w:rPr>
          <w:rFonts w:ascii="Times New Roman" w:hAnsi="Times New Roman" w:cs="Times New Roman"/>
          <w:color w:val="auto"/>
          <w:sz w:val="20"/>
          <w:szCs w:val="20"/>
        </w:rPr>
        <w:tab/>
        <w:t>Hildesheim A et al. Efficacy of the HPV-16/18 vaccine: final according to protocol results from the blinded phase of the randomized Costa Rica HPV-16/18 vaccine trial. Vaccine 2014; 32, (39) 5087–5097.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56</w:t>
      </w:r>
      <w:r w:rsidRPr="00286852">
        <w:rPr>
          <w:rFonts w:ascii="Times New Roman" w:hAnsi="Times New Roman" w:cs="Times New Roman"/>
          <w:color w:val="auto"/>
          <w:sz w:val="20"/>
          <w:szCs w:val="20"/>
        </w:rPr>
        <w:tab/>
        <w:t>Lang Kuhs KA et al. Effect of different human papillomavirus serological and DNA criteria on vaccine efficacy estimates. Am.J Epidemiol 2014; 180, (6) 599–607.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57</w:t>
      </w:r>
      <w:r w:rsidRPr="00286852">
        <w:rPr>
          <w:rFonts w:ascii="Times New Roman" w:hAnsi="Times New Roman" w:cs="Times New Roman"/>
          <w:color w:val="auto"/>
          <w:sz w:val="20"/>
          <w:szCs w:val="20"/>
        </w:rPr>
        <w:tab/>
        <w:t>Einstein MH et al. Comparison of the immunogenicity and safety of Cervarix TM and Gardasil R human papillomavirus (HPV) cervical cancer vaccines in healthy women aged 18-45 years. Hum Vaccines 2009;5(10):705–719.</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58</w:t>
      </w:r>
      <w:r w:rsidRPr="00286852">
        <w:rPr>
          <w:rFonts w:ascii="Times New Roman" w:hAnsi="Times New Roman" w:cs="Times New Roman"/>
          <w:color w:val="auto"/>
          <w:sz w:val="20"/>
          <w:szCs w:val="20"/>
        </w:rPr>
        <w:tab/>
        <w:t xml:space="preserve">Einstein M. Comparison of long-term immunogenicity and safety of human papillomavirus (HPV)-16/18 AS04-adjuvanted vaccine and HPV-6/11/16/18 vaccine in </w:t>
      </w:r>
      <w:r w:rsidRPr="00286852">
        <w:rPr>
          <w:rFonts w:ascii="Times New Roman" w:hAnsi="Times New Roman" w:cs="Times New Roman"/>
          <w:color w:val="auto"/>
          <w:sz w:val="20"/>
          <w:szCs w:val="20"/>
        </w:rPr>
        <w:br/>
        <w:t>healthy women aged 18-45 years: End-of-study analysis of a Phase III randomized trial. Hum Vaccin Immunother. 2014 Dec; 10(12): 3435–3445.</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59</w:t>
      </w:r>
      <w:r w:rsidRPr="00286852">
        <w:rPr>
          <w:rFonts w:ascii="Times New Roman" w:hAnsi="Times New Roman" w:cs="Times New Roman"/>
          <w:color w:val="auto"/>
          <w:sz w:val="20"/>
          <w:szCs w:val="20"/>
        </w:rPr>
        <w:tab/>
        <w:t>Joura EA et al. A 9-valent HPV vaccine against infection and intraepithelial neoplasia in women. NEJM 2015;372(8):711–723.</w:t>
      </w:r>
    </w:p>
    <w:p w:rsidR="0092304F" w:rsidRPr="00286852" w:rsidRDefault="0092304F" w:rsidP="0092304F">
      <w:pPr>
        <w:pStyle w:val="Notefiletanblanc"/>
        <w:rPr>
          <w:rFonts w:ascii="Times New Roman" w:hAnsi="Times New Roman" w:cs="Times New Roman"/>
          <w:color w:val="auto"/>
          <w:spacing w:val="1"/>
          <w:sz w:val="20"/>
          <w:szCs w:val="20"/>
        </w:rPr>
      </w:pPr>
      <w:r w:rsidRPr="00286852">
        <w:rPr>
          <w:rFonts w:ascii="Times New Roman" w:hAnsi="Times New Roman" w:cs="Times New Roman"/>
          <w:color w:val="auto"/>
          <w:spacing w:val="1"/>
          <w:sz w:val="20"/>
          <w:szCs w:val="20"/>
          <w:vertAlign w:val="superscript"/>
        </w:rPr>
        <w:lastRenderedPageBreak/>
        <w:t>60</w:t>
      </w:r>
      <w:r w:rsidRPr="00286852">
        <w:rPr>
          <w:rFonts w:ascii="Times New Roman" w:hAnsi="Times New Roman" w:cs="Times New Roman"/>
          <w:color w:val="auto"/>
          <w:spacing w:val="1"/>
          <w:sz w:val="20"/>
          <w:szCs w:val="20"/>
        </w:rPr>
        <w:tab/>
        <w:t>Vesikari T et al. A randomized, double-blind, phase III study of the immunogenicity and safety of a 9-valent human papillomavirus L1 virus-like particle vaccine (V503) versus Gardasil® in 9–15-year-old girls. Pediatr Infect Dis J 2015;34:992–998.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61</w:t>
      </w:r>
      <w:r w:rsidRPr="00286852">
        <w:rPr>
          <w:rFonts w:ascii="Times New Roman" w:hAnsi="Times New Roman" w:cs="Times New Roman"/>
          <w:color w:val="auto"/>
          <w:sz w:val="20"/>
          <w:szCs w:val="20"/>
        </w:rPr>
        <w:tab/>
        <w:t>Randomized controlled trials of human papillomavirus vaccines: Systematic reviews prepared by Cochrane Response, London, UK. Available at http://www.who.int/immunization/sage/meetings/2016/october/04_Clinical_trials_of_HPV_vaccines.pdf?ua=1, accessed February 2017.</w:t>
      </w:r>
    </w:p>
    <w:p w:rsidR="0092304F" w:rsidRPr="00286852" w:rsidRDefault="0092304F" w:rsidP="0092304F">
      <w:pPr>
        <w:pStyle w:val="Notefiletan"/>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lang w:val="it-IT"/>
        </w:rPr>
        <w:t>62</w:t>
      </w:r>
      <w:r w:rsidRPr="00286852">
        <w:rPr>
          <w:rFonts w:ascii="Times New Roman" w:hAnsi="Times New Roman" w:cs="Times New Roman"/>
          <w:color w:val="auto"/>
          <w:sz w:val="20"/>
          <w:szCs w:val="20"/>
          <w:lang w:val="it-IT"/>
        </w:rPr>
        <w:tab/>
        <w:t>Of note, the vaccines are not licensed in a 2-dose schedule in all countries.</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63</w:t>
      </w:r>
      <w:r w:rsidRPr="00286852">
        <w:rPr>
          <w:rFonts w:ascii="Times New Roman" w:hAnsi="Times New Roman" w:cs="Times New Roman"/>
          <w:color w:val="auto"/>
          <w:sz w:val="20"/>
          <w:szCs w:val="20"/>
        </w:rPr>
        <w:tab/>
        <w:t>D’Addario M et al. HPV vaccines: systematic review of literature on alternative vaccination schedules. Report to WHO. Institute of Social and Preventive Medicine (ISPM), University of Bern, Bern, Switzerland (24th June 2014). In: Evidence based recommendations on human papilloma virus (HPV) schedules: Background paper for SAGE discussions. Geneva: World Health Organization 2014: Annex 1 (http://www.who.int/immunization/sage/meetings/2014/april/1_HPV_Evidence_based_recommendationsWHO_with_Appendices2_3.pdf?ua=1, accessed July 2014).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64</w:t>
      </w:r>
      <w:r w:rsidRPr="00286852">
        <w:rPr>
          <w:rFonts w:ascii="Times New Roman" w:hAnsi="Times New Roman" w:cs="Times New Roman"/>
          <w:color w:val="auto"/>
          <w:sz w:val="20"/>
          <w:szCs w:val="20"/>
        </w:rPr>
        <w:tab/>
        <w:t>Grading of scientific evidence – table II: Immunogenicity of 2 vs. 3 doses of HPV vaccination in immunocompetent girls. Available at http://www.who.int/immunization/position_papers/hpv_grad_immunogenicity_2vs3_immunocompetent.pdf,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65</w:t>
      </w:r>
      <w:r w:rsidRPr="00286852">
        <w:rPr>
          <w:rFonts w:ascii="Times New Roman" w:hAnsi="Times New Roman" w:cs="Times New Roman"/>
          <w:color w:val="auto"/>
          <w:sz w:val="20"/>
          <w:szCs w:val="20"/>
        </w:rPr>
        <w:tab/>
        <w:t>Dobson SRM et al. Immunogenicity of 2 doses of HPV vaccine in younger adolescents vs 3 doses in young women: a randomized clinical trial. JAMA 2013;309(17):1793–1802.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66</w:t>
      </w:r>
      <w:r w:rsidRPr="00286852">
        <w:rPr>
          <w:rFonts w:ascii="Times New Roman" w:hAnsi="Times New Roman" w:cs="Times New Roman"/>
          <w:color w:val="auto"/>
          <w:sz w:val="20"/>
          <w:szCs w:val="20"/>
        </w:rPr>
        <w:tab/>
        <w:t>Romanowski B et al. Sustained immunogenicity of the HPV-16/18 AS04-adjuvanted vaccine administered as a two-dose schedule in adolescent girls: Five-year clinical data and modeling predictions from a randomized study. Human Vaccines &amp; Immunotherapeutics 2016;12(1):20–29.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67</w:t>
      </w:r>
      <w:r w:rsidRPr="00286852">
        <w:rPr>
          <w:rFonts w:ascii="Times New Roman" w:hAnsi="Times New Roman" w:cs="Times New Roman"/>
          <w:color w:val="auto"/>
          <w:sz w:val="20"/>
          <w:szCs w:val="20"/>
        </w:rPr>
        <w:tab/>
        <w:t>A phase III study of a 2-dose regimen of a multivalent human papillomavirus (HPV) vaccine (V503), administered to 9 to 14 year-olds and compared to young women, 16 to 26 years old (V503-010). Available at https://clinicaltrials.gov/ct2/show/NCT01984697, accessed September 2016.</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68</w:t>
      </w:r>
      <w:r w:rsidRPr="00286852">
        <w:rPr>
          <w:rFonts w:ascii="Times New Roman" w:hAnsi="Times New Roman" w:cs="Times New Roman"/>
          <w:color w:val="auto"/>
          <w:sz w:val="20"/>
          <w:szCs w:val="20"/>
        </w:rPr>
        <w:tab/>
        <w:t>Puthanakit T et al. Randomized Open Trial Comparing 2-Dose Regimens of the Human Papillomavirus 16/18 AS04-Adjuvanted Vaccine in Girls Aged 9–14 Years Versus a 3-Dose Regimen in Women Aged 15-25 Years. J Infect Dis. 2016 Aug 15;214(4):525–536.</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69</w:t>
      </w:r>
      <w:r w:rsidRPr="00286852">
        <w:rPr>
          <w:rFonts w:ascii="Times New Roman" w:hAnsi="Times New Roman" w:cs="Times New Roman"/>
          <w:color w:val="auto"/>
          <w:sz w:val="20"/>
          <w:szCs w:val="20"/>
        </w:rPr>
        <w:tab/>
        <w:t>Lazcano-Ponce E et al. Overcoming barriers to HPV vaccination: non-inferiority of antibody response to human papillomavirus 16/18 vaccine in adolescents vaccinated with a two-dose versus a three-dose schedule at 21 months. Vaccine 2014;32:725–732.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70</w:t>
      </w:r>
      <w:r w:rsidRPr="00286852">
        <w:rPr>
          <w:rFonts w:ascii="Times New Roman" w:hAnsi="Times New Roman" w:cs="Times New Roman"/>
          <w:color w:val="auto"/>
          <w:sz w:val="20"/>
          <w:szCs w:val="20"/>
        </w:rPr>
        <w:tab/>
        <w:t>Hernandez-Avila M et al. Evaluation of the immunogenicity of the quadrivalent HPV vaccine using two versus three doses at month 21: an epidemiological surveillance mechanism for alternate vaccination schemes. Human Vaccines &amp; Immunotherapeutics 2016;12(1)30–38.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71</w:t>
      </w:r>
      <w:r w:rsidRPr="00286852">
        <w:rPr>
          <w:rFonts w:ascii="Times New Roman" w:hAnsi="Times New Roman" w:cs="Times New Roman"/>
          <w:color w:val="auto"/>
          <w:sz w:val="20"/>
          <w:szCs w:val="20"/>
        </w:rPr>
        <w:tab/>
        <w:t>Iversen OE et al. Immunogenicity of the 9-Valent HPV Vaccine Using 2-Dose Regimens in Girls and Boys vs a 3-Dose Regimen in Women. JAMA. 2016 Dec 13;316(22):2411–2421.</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72</w:t>
      </w:r>
      <w:r w:rsidRPr="00286852">
        <w:rPr>
          <w:rFonts w:ascii="Times New Roman" w:hAnsi="Times New Roman" w:cs="Times New Roman"/>
          <w:color w:val="auto"/>
          <w:sz w:val="20"/>
          <w:szCs w:val="20"/>
        </w:rPr>
        <w:tab/>
        <w:t>Kreimer AR et al. Proof-of-principle evaluation of the efficacy of fewer than three doses of a bivalent HPV16/18 vaccine. J Natl Cancer Inst, 2011;103:1444–1451.</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73</w:t>
      </w:r>
      <w:r w:rsidRPr="00286852">
        <w:rPr>
          <w:rFonts w:ascii="Times New Roman" w:hAnsi="Times New Roman" w:cs="Times New Roman"/>
          <w:color w:val="auto"/>
          <w:sz w:val="20"/>
          <w:szCs w:val="20"/>
        </w:rPr>
        <w:tab/>
        <w:t>Basu P et al. Less than 3 doses of the HPV vaccine – Review of efficacy against virological and disease end points. Hum Vaccin Immunother 2016; 12:1394-1402.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74</w:t>
      </w:r>
      <w:r w:rsidRPr="00286852">
        <w:rPr>
          <w:rFonts w:ascii="Times New Roman" w:hAnsi="Times New Roman" w:cs="Times New Roman"/>
          <w:color w:val="auto"/>
          <w:sz w:val="20"/>
          <w:szCs w:val="20"/>
        </w:rPr>
        <w:tab/>
        <w:t>Sankaranaarayanan R et al. Immunogenicity and HPV infection after one, two, and three doses of quadrivalent HPV vaccine in girls in India: a multicentre prospective cohort study. Lancet Oncol 2016; 17: 67–77.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75</w:t>
      </w:r>
      <w:r w:rsidRPr="00286852">
        <w:rPr>
          <w:rFonts w:ascii="Times New Roman" w:hAnsi="Times New Roman" w:cs="Times New Roman"/>
          <w:color w:val="auto"/>
          <w:sz w:val="20"/>
          <w:szCs w:val="20"/>
        </w:rPr>
        <w:tab/>
        <w:t>Markowitz LM et al. High effectiveness after vaccine type prevalence after 1, 2 and 3 doses of quadrivalent HPV vaccine, United States. HPV 2017, 2 March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76</w:t>
      </w:r>
      <w:r w:rsidRPr="00286852">
        <w:rPr>
          <w:rFonts w:ascii="Times New Roman" w:hAnsi="Times New Roman" w:cs="Times New Roman"/>
          <w:color w:val="auto"/>
          <w:sz w:val="20"/>
          <w:szCs w:val="20"/>
        </w:rPr>
        <w:tab/>
        <w:t>Gertig DM et al. Impact of a population-based HPV vaccination program on cervical abnormalities: a data linkage study. BMC Med, 2013;11:227.</w:t>
      </w:r>
    </w:p>
    <w:p w:rsidR="0092304F" w:rsidRPr="00286852" w:rsidRDefault="0092304F" w:rsidP="0092304F">
      <w:pPr>
        <w:pStyle w:val="Notefiletanblanc"/>
        <w:rPr>
          <w:rFonts w:ascii="Times New Roman" w:hAnsi="Times New Roman" w:cs="Times New Roman"/>
          <w:color w:val="auto"/>
          <w:spacing w:val="-1"/>
          <w:sz w:val="20"/>
          <w:szCs w:val="20"/>
        </w:rPr>
      </w:pPr>
      <w:r w:rsidRPr="00286852">
        <w:rPr>
          <w:rFonts w:ascii="Times New Roman" w:hAnsi="Times New Roman" w:cs="Times New Roman"/>
          <w:color w:val="auto"/>
          <w:spacing w:val="-1"/>
          <w:sz w:val="20"/>
          <w:szCs w:val="20"/>
          <w:vertAlign w:val="superscript"/>
        </w:rPr>
        <w:t>77</w:t>
      </w:r>
      <w:r w:rsidRPr="00286852">
        <w:rPr>
          <w:rFonts w:ascii="Times New Roman" w:hAnsi="Times New Roman" w:cs="Times New Roman"/>
          <w:color w:val="auto"/>
          <w:spacing w:val="-1"/>
          <w:sz w:val="20"/>
          <w:szCs w:val="20"/>
        </w:rPr>
        <w:tab/>
        <w:t>Powell SE et al. Impact of human papillomavirus (HPV) vaccination on HPV 16/18-related prevalence in precancerous cervical lesions. Vaccine, 2012;31:109–113.</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78</w:t>
      </w:r>
      <w:r w:rsidRPr="00286852">
        <w:rPr>
          <w:rFonts w:ascii="Times New Roman" w:hAnsi="Times New Roman" w:cs="Times New Roman"/>
          <w:color w:val="auto"/>
          <w:sz w:val="20"/>
          <w:szCs w:val="20"/>
        </w:rPr>
        <w:tab/>
      </w:r>
      <w:r w:rsidRPr="00286852">
        <w:rPr>
          <w:rFonts w:ascii="Times New Roman" w:hAnsi="Times New Roman" w:cs="Times New Roman"/>
          <w:color w:val="auto"/>
          <w:w w:val="98"/>
          <w:sz w:val="20"/>
          <w:szCs w:val="20"/>
        </w:rPr>
        <w:t>Cuschieri K. The massive decline of clinically relevant high-risk human papillomavirus (HR-HPV) infection in Scotland. 6-4-2017. Abstract at Microbiology Society Annual</w:t>
      </w:r>
      <w:r w:rsidRPr="00286852">
        <w:rPr>
          <w:rFonts w:ascii="Times New Roman" w:hAnsi="Times New Roman" w:cs="Times New Roman"/>
          <w:color w:val="auto"/>
          <w:sz w:val="20"/>
          <w:szCs w:val="20"/>
        </w:rPr>
        <w:t xml:space="preserve"> Conference 2017, Edinburgh, UK. Available at https://www.microbiologysociety.org/event/annual-conference-2017.html, accessed April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79</w:t>
      </w:r>
      <w:r w:rsidRPr="00286852">
        <w:rPr>
          <w:rFonts w:ascii="Times New Roman" w:hAnsi="Times New Roman" w:cs="Times New Roman"/>
          <w:color w:val="auto"/>
          <w:sz w:val="20"/>
          <w:szCs w:val="20"/>
        </w:rPr>
        <w:tab/>
        <w:t>Tabrizi SN et al. Assessment of herd immunity and cross-protection after a human papillomavirus vaccination programme in Australia: a repeat cross-sectional study. Lancet Infect Dis, 2014; 14:958–966.</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80</w:t>
      </w:r>
      <w:r w:rsidRPr="00286852">
        <w:rPr>
          <w:rFonts w:ascii="Times New Roman" w:hAnsi="Times New Roman" w:cs="Times New Roman"/>
          <w:color w:val="auto"/>
          <w:sz w:val="20"/>
          <w:szCs w:val="20"/>
        </w:rPr>
        <w:tab/>
        <w:t>McCormack PL. Quadrivalent Human Papillomavirus (Types 6, 11, 16, 18) Recombinant Vaccine (Gardasil®): A Review of Its Use in the Prevention of Premalignant Anogenital Lesions, Cervical and Anal Cancers, and Genital Warts. Drugs, 2014;74(11):1253–1283.</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81</w:t>
      </w:r>
      <w:r w:rsidRPr="00286852">
        <w:rPr>
          <w:rFonts w:ascii="Times New Roman" w:hAnsi="Times New Roman" w:cs="Times New Roman"/>
          <w:color w:val="auto"/>
          <w:sz w:val="20"/>
          <w:szCs w:val="20"/>
        </w:rPr>
        <w:tab/>
        <w:t>Muñoz N et al. Impact of human papillomavirus (HPV)-6/11/16/18 vaccine on all HPV-associated genital diseases in young women. J Nat Cancer Inst, 2010;102(5):325–339.</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82</w:t>
      </w:r>
      <w:r w:rsidRPr="00286852">
        <w:rPr>
          <w:rFonts w:ascii="Times New Roman" w:hAnsi="Times New Roman" w:cs="Times New Roman"/>
          <w:color w:val="auto"/>
          <w:sz w:val="20"/>
          <w:szCs w:val="20"/>
        </w:rPr>
        <w:tab/>
        <w:t>Grading of scientific evidence – table IV: Protection against anogenital warts conferred by HPV vaccination in immunocompetent girls. Available at http://www.who.int/immunization/position_papers/hpv_grad_protection_warts_immunocompetent.pdf.</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83</w:t>
      </w:r>
      <w:r w:rsidRPr="00286852">
        <w:rPr>
          <w:rFonts w:ascii="Times New Roman" w:hAnsi="Times New Roman" w:cs="Times New Roman"/>
          <w:color w:val="auto"/>
          <w:sz w:val="20"/>
          <w:szCs w:val="20"/>
        </w:rPr>
        <w:tab/>
        <w:t>Bollerup S et al. Significant reduction in the incidence of genital warts in young men 5 years into the danish human papillomavirus vaccination program for girls and women. Sex Transm Dis 2016;43:238e42.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84</w:t>
      </w:r>
      <w:r w:rsidRPr="00286852">
        <w:rPr>
          <w:rFonts w:ascii="Times New Roman" w:hAnsi="Times New Roman" w:cs="Times New Roman"/>
          <w:color w:val="auto"/>
          <w:sz w:val="20"/>
          <w:szCs w:val="20"/>
        </w:rPr>
        <w:tab/>
        <w:t>Ali H et al. Genital warts in young Australians five years into national human papillomavirus vaccination programme: national surveillance data. BMJ, 2013;346:f2032.</w:t>
      </w:r>
    </w:p>
    <w:p w:rsidR="0092304F" w:rsidRPr="00286852" w:rsidRDefault="0092304F" w:rsidP="0092304F">
      <w:pPr>
        <w:pStyle w:val="Notefiletanblanc"/>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rPr>
        <w:t>85</w:t>
      </w:r>
      <w:r w:rsidRPr="00286852">
        <w:rPr>
          <w:rFonts w:ascii="Times New Roman" w:hAnsi="Times New Roman" w:cs="Times New Roman"/>
          <w:color w:val="auto"/>
          <w:sz w:val="20"/>
          <w:szCs w:val="20"/>
        </w:rPr>
        <w:tab/>
        <w:t xml:space="preserve">Garland SM et al. Quadrivalent vaccine against human papillomavirus to prevent anogenital diseases. </w:t>
      </w:r>
      <w:r w:rsidRPr="00286852">
        <w:rPr>
          <w:rFonts w:ascii="Times New Roman" w:hAnsi="Times New Roman" w:cs="Times New Roman"/>
          <w:color w:val="auto"/>
          <w:sz w:val="20"/>
          <w:szCs w:val="20"/>
          <w:lang w:val="it-IT"/>
        </w:rPr>
        <w:t>N Engl J Med 2007;356:1928e43.</w:t>
      </w:r>
    </w:p>
    <w:p w:rsidR="0092304F" w:rsidRPr="00286852" w:rsidRDefault="0092304F" w:rsidP="0092304F">
      <w:pPr>
        <w:pStyle w:val="Notefiletanblanc"/>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lang w:val="it-IT"/>
        </w:rPr>
        <w:t>86</w:t>
      </w:r>
      <w:r w:rsidRPr="00286852">
        <w:rPr>
          <w:rFonts w:ascii="Times New Roman" w:hAnsi="Times New Roman" w:cs="Times New Roman"/>
          <w:color w:val="auto"/>
          <w:sz w:val="20"/>
          <w:szCs w:val="20"/>
          <w:lang w:val="it-IT"/>
        </w:rPr>
        <w:tab/>
        <w:t>Giuliano AR et al. Efficacy of quadrivalent HPV vaccine against HPV Infection and disease in males. N Engl J Med 2011;364:401e11.</w:t>
      </w:r>
    </w:p>
    <w:p w:rsidR="0092304F" w:rsidRPr="00286852" w:rsidRDefault="0092304F" w:rsidP="0092304F">
      <w:pPr>
        <w:pStyle w:val="Notefiletanblanc"/>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lang w:val="it-IT"/>
        </w:rPr>
        <w:lastRenderedPageBreak/>
        <w:t>87</w:t>
      </w:r>
      <w:r w:rsidRPr="00286852">
        <w:rPr>
          <w:rFonts w:ascii="Times New Roman" w:hAnsi="Times New Roman" w:cs="Times New Roman"/>
          <w:color w:val="auto"/>
          <w:sz w:val="20"/>
          <w:szCs w:val="20"/>
          <w:lang w:val="it-IT"/>
        </w:rPr>
        <w:tab/>
        <w:t>Howell-Jones R et al. Declining Genital Warts in Young Women in England Associated With HPV 16/18 Vaccination: An Ecological Study. J Infect Dis 2013;208:1397–1403.</w:t>
      </w:r>
    </w:p>
    <w:p w:rsidR="0092304F" w:rsidRPr="00286852" w:rsidRDefault="0092304F" w:rsidP="0092304F">
      <w:pPr>
        <w:pStyle w:val="Notefiletanblanc"/>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lang w:val="it-IT"/>
        </w:rPr>
        <w:t>88</w:t>
      </w:r>
      <w:r w:rsidRPr="00286852">
        <w:rPr>
          <w:rFonts w:ascii="Times New Roman" w:hAnsi="Times New Roman" w:cs="Times New Roman"/>
          <w:color w:val="auto"/>
          <w:sz w:val="20"/>
          <w:szCs w:val="20"/>
          <w:lang w:val="it-IT"/>
        </w:rPr>
        <w:tab/>
        <w:t>Blomberg M et al. Strongly Decreased Risk of Genital Warts After Vaccination Against Human Papillomavirus: Nationwide Follow-up of Vaccinated and Unvaccinated Girls in Denmark.Clin Infect Dis, 2013; 57 (7): 929–934.</w:t>
      </w:r>
    </w:p>
    <w:p w:rsidR="0092304F" w:rsidRPr="00286852" w:rsidRDefault="0092304F" w:rsidP="0092304F">
      <w:pPr>
        <w:pStyle w:val="Notefiletanblanc"/>
        <w:rPr>
          <w:rFonts w:ascii="Times New Roman" w:hAnsi="Times New Roman" w:cs="Times New Roman"/>
          <w:color w:val="auto"/>
          <w:sz w:val="20"/>
          <w:szCs w:val="20"/>
          <w:lang w:val="it-IT"/>
        </w:rPr>
      </w:pPr>
      <w:r w:rsidRPr="00286852">
        <w:rPr>
          <w:rFonts w:ascii="Times New Roman" w:hAnsi="Times New Roman" w:cs="Times New Roman"/>
          <w:color w:val="auto"/>
          <w:sz w:val="20"/>
          <w:szCs w:val="20"/>
          <w:vertAlign w:val="superscript"/>
          <w:lang w:val="it-IT"/>
        </w:rPr>
        <w:t>89</w:t>
      </w:r>
      <w:r w:rsidRPr="00286852">
        <w:rPr>
          <w:rFonts w:ascii="Times New Roman" w:hAnsi="Times New Roman" w:cs="Times New Roman"/>
          <w:color w:val="auto"/>
          <w:sz w:val="20"/>
          <w:szCs w:val="20"/>
          <w:lang w:val="it-IT"/>
        </w:rPr>
        <w:tab/>
        <w:t>Szarewski A et al. Efficacy of the HPV-16/18 AS04-adjuvanted vaccine against low-risk HPV types (PATRICIA randomized trial): an unexpected observation.The Journal of Infectious Diseases 2013;208:1391–1396.</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90</w:t>
      </w:r>
      <w:r w:rsidRPr="00286852">
        <w:rPr>
          <w:rFonts w:ascii="Times New Roman" w:hAnsi="Times New Roman" w:cs="Times New Roman"/>
          <w:color w:val="auto"/>
          <w:sz w:val="20"/>
          <w:szCs w:val="20"/>
        </w:rPr>
        <w:tab/>
        <w:t>Efficacy of the HPV-16/18 AS04-adjuvanted vaccine against low-risk HPV types (PATRICIA randomized trial): an unexpected observation.</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91</w:t>
      </w:r>
      <w:r w:rsidRPr="00286852">
        <w:rPr>
          <w:rFonts w:ascii="Times New Roman" w:hAnsi="Times New Roman" w:cs="Times New Roman"/>
          <w:color w:val="auto"/>
          <w:sz w:val="20"/>
          <w:szCs w:val="20"/>
        </w:rPr>
        <w:tab/>
        <w:t>Miltz A et al. Sytematic review and meta-analysis of l1-VLP-based Human Papillomavirus vaccine efficacy against anogenital pre-cancer in women with evidence of prior HPV exposure. Plos One, 2014;9; 3:e90348.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92</w:t>
      </w:r>
      <w:r w:rsidRPr="00286852">
        <w:rPr>
          <w:rFonts w:ascii="Times New Roman" w:hAnsi="Times New Roman" w:cs="Times New Roman"/>
          <w:color w:val="auto"/>
          <w:sz w:val="20"/>
          <w:szCs w:val="20"/>
        </w:rPr>
        <w:tab/>
        <w:t xml:space="preserve">Lehtinen M et al. Clinical trials of human papillomavirus vaccines and beyond. </w:t>
      </w:r>
      <w:r w:rsidRPr="00286852">
        <w:rPr>
          <w:rFonts w:ascii="Times New Roman" w:hAnsi="Times New Roman" w:cs="Times New Roman"/>
          <w:color w:val="auto"/>
          <w:sz w:val="20"/>
          <w:szCs w:val="20"/>
        </w:rPr>
        <w:br/>
        <w:t>Clinical trials of human papillomavirus vaccines and beyond. Nature Reviews Clinical Oncology.2013. 10, 400–410.</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93</w:t>
      </w:r>
      <w:r w:rsidRPr="00286852">
        <w:rPr>
          <w:rFonts w:ascii="Times New Roman" w:hAnsi="Times New Roman" w:cs="Times New Roman"/>
          <w:color w:val="auto"/>
          <w:sz w:val="20"/>
          <w:szCs w:val="20"/>
        </w:rPr>
        <w:tab/>
        <w:t>Pinto LA et al. Quadrivalent Human Papillomavirus (HPV) Vaccine Induces HPV-Specific Antibodies in the Oral Cavity: Results From the Mid-Adult Male Vaccine Trial. J Infect Dis. 2016 Oct 15;214(8):1276-83.</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94</w:t>
      </w:r>
      <w:r w:rsidRPr="00286852">
        <w:rPr>
          <w:rFonts w:ascii="Times New Roman" w:hAnsi="Times New Roman" w:cs="Times New Roman"/>
          <w:color w:val="auto"/>
          <w:sz w:val="20"/>
          <w:szCs w:val="20"/>
        </w:rPr>
        <w:tab/>
        <w:t>Herrero R, Quint W, Hildesheim A et al. Reduced prevalence of oral human papillomavirus (HPV) 4 years after bivalent HPV vaccination in a randomized clinical trial in Costa Rica. PloS One. 2013;8:e68329.</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95</w:t>
      </w:r>
      <w:r w:rsidRPr="00286852">
        <w:rPr>
          <w:rFonts w:ascii="Times New Roman" w:hAnsi="Times New Roman" w:cs="Times New Roman"/>
          <w:color w:val="auto"/>
          <w:sz w:val="20"/>
          <w:szCs w:val="20"/>
        </w:rPr>
        <w:tab/>
        <w:t>Kojic EM et al. Immunogenicity and Safety of a Quadrivalent Human Papillomavirus Vaccine in HIV-1-Infected Women. Clin Infect Dis 2014;59(1):127–135.</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96</w:t>
      </w:r>
      <w:r w:rsidRPr="00286852">
        <w:rPr>
          <w:rFonts w:ascii="Times New Roman" w:hAnsi="Times New Roman" w:cs="Times New Roman"/>
          <w:color w:val="auto"/>
          <w:sz w:val="20"/>
          <w:szCs w:val="20"/>
        </w:rPr>
        <w:tab/>
        <w:t>Kahn JA et al. Immunogenicity and safety of human papillomavirus 6, 11, 16, 18 vaccine in HIV infected young women Clin Infect Dis, 2013;57(5):735–744.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97</w:t>
      </w:r>
      <w:r w:rsidRPr="00286852">
        <w:rPr>
          <w:rFonts w:ascii="Times New Roman" w:hAnsi="Times New Roman" w:cs="Times New Roman"/>
          <w:color w:val="auto"/>
          <w:sz w:val="20"/>
          <w:szCs w:val="20"/>
        </w:rPr>
        <w:tab/>
        <w:t>Wilkin T et al. Safety and immunogenicity of the quadrivalent human papillomavirus vaccine in HIV-1-infected men. J Infect Dis, 2010;202:1246–1253.</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98</w:t>
      </w:r>
      <w:r w:rsidRPr="00286852">
        <w:rPr>
          <w:rFonts w:ascii="Times New Roman" w:hAnsi="Times New Roman" w:cs="Times New Roman"/>
          <w:color w:val="auto"/>
          <w:sz w:val="20"/>
          <w:szCs w:val="20"/>
        </w:rPr>
        <w:tab/>
        <w:t xml:space="preserve">Levin MJ et al. Safety and Immunogenicity of a Quadrivalent Human Papillomavirus (Types 6, 11, 16, and 18) Vaccine in HIV-Infected Children 7 to 12 Years Old. J Acquir Immune Defic Syndr, 2010; 55(2):197–204.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99</w:t>
      </w:r>
      <w:r w:rsidRPr="00286852">
        <w:rPr>
          <w:rFonts w:ascii="Times New Roman" w:hAnsi="Times New Roman" w:cs="Times New Roman"/>
          <w:color w:val="auto"/>
          <w:sz w:val="20"/>
          <w:szCs w:val="20"/>
        </w:rPr>
        <w:tab/>
        <w:t>Grading of scientific evidence – table V: Safety of HPV vaccination in HIV infected girls. Available at http://www.who.int/immunization/position_papers/hpv_grad_safety_hiv.pdf,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100</w:t>
      </w:r>
      <w:r w:rsidRPr="00286852">
        <w:rPr>
          <w:rFonts w:ascii="Times New Roman" w:hAnsi="Times New Roman" w:cs="Times New Roman"/>
          <w:color w:val="auto"/>
          <w:sz w:val="20"/>
          <w:szCs w:val="20"/>
        </w:rPr>
        <w:t>Weinberg A et al. Humoral, mucosal, and cell-mediated immunity against vaccine and nonvaccine genotypes after administration of quadrivalent human papillomavirus vaccine to HIV-infected children. 2012;206:1309–1318.</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101</w:t>
      </w:r>
      <w:r w:rsidRPr="00286852">
        <w:rPr>
          <w:rFonts w:ascii="Times New Roman" w:hAnsi="Times New Roman" w:cs="Times New Roman"/>
          <w:color w:val="auto"/>
          <w:sz w:val="20"/>
          <w:szCs w:val="20"/>
        </w:rPr>
        <w:t>Denny L et al. Safety and immunogenicity of the HPV-16/18 AS04-adjuvanted vaccine in HIV-positive women in South Africa: a partially-blind randomized placebo-controlled study. Vaccine, 2013 Nov 19;31(48):5745–5753.</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102</w:t>
      </w:r>
      <w:r w:rsidRPr="00286852">
        <w:rPr>
          <w:rFonts w:ascii="Times New Roman" w:hAnsi="Times New Roman" w:cs="Times New Roman"/>
          <w:color w:val="auto"/>
          <w:sz w:val="20"/>
          <w:szCs w:val="20"/>
        </w:rPr>
        <w:t>Toft L et al. Comparison of the immunogenicity and reactogenicity of Cervarix and Gardasil human papillomavirus vaccines in HIV-infected adults: a randomized, double-blind clinical trial. Hum Vaccine Immunother. 2014;209:1165–1173.</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103</w:t>
      </w:r>
      <w:r w:rsidRPr="00286852">
        <w:rPr>
          <w:rFonts w:ascii="Times New Roman" w:hAnsi="Times New Roman" w:cs="Times New Roman"/>
          <w:color w:val="auto"/>
          <w:sz w:val="20"/>
          <w:szCs w:val="20"/>
        </w:rPr>
        <w:t xml:space="preserve">Faust H et al. Human papillomavirus neutralizing and cross-reactive antibodies </w:t>
      </w:r>
      <w:r w:rsidRPr="00286852">
        <w:rPr>
          <w:rFonts w:ascii="Times New Roman" w:hAnsi="Times New Roman" w:cs="Times New Roman"/>
          <w:color w:val="auto"/>
          <w:sz w:val="20"/>
          <w:szCs w:val="20"/>
        </w:rPr>
        <w:br/>
        <w:t>induced in HIV-positive subjects after vaccination with quadrivalent and bivalent HPV vaccines. 2016;34:1559–1565.</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104</w:t>
      </w:r>
      <w:r w:rsidRPr="00286852">
        <w:rPr>
          <w:rFonts w:ascii="Times New Roman" w:hAnsi="Times New Roman" w:cs="Times New Roman"/>
          <w:color w:val="auto"/>
          <w:sz w:val="20"/>
          <w:szCs w:val="20"/>
        </w:rPr>
        <w:t>Grading of scientific evidence – table VI: Efficacy of HPV vaccination in HIV infected girls. Available at http://www.who.int/immunization/position_papers/hpv_grad_efficacy_hiv.pdf, accessed February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105</w:t>
      </w:r>
      <w:r w:rsidRPr="00286852">
        <w:rPr>
          <w:rFonts w:ascii="Times New Roman" w:hAnsi="Times New Roman" w:cs="Times New Roman"/>
          <w:color w:val="auto"/>
          <w:sz w:val="20"/>
          <w:szCs w:val="20"/>
        </w:rPr>
        <w:t>Malagon T et al. Cross-protective efficacy of two human papillomavirus vaccines: a systematic review and meta- analysis. Lancet Infect Dis, 2012;12:781–789.</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106</w:t>
      </w:r>
      <w:r w:rsidRPr="00286852">
        <w:rPr>
          <w:rFonts w:ascii="Times New Roman" w:hAnsi="Times New Roman" w:cs="Times New Roman"/>
          <w:color w:val="auto"/>
          <w:sz w:val="20"/>
          <w:szCs w:val="20"/>
        </w:rPr>
        <w:t>Kemp TJ et al. HPV16/18 L1 VLP vaccine induces cross-neutralising antibodies that may mediate cross-protection. Vaccine 2011;29(11):2011–2014.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107</w:t>
      </w:r>
      <w:r w:rsidRPr="00286852">
        <w:rPr>
          <w:rFonts w:ascii="Times New Roman" w:hAnsi="Times New Roman" w:cs="Times New Roman"/>
          <w:color w:val="auto"/>
          <w:sz w:val="20"/>
          <w:szCs w:val="20"/>
        </w:rPr>
        <w:t>Draper E et al. A randomized, observer-blinded immunogenicity trial of Cervarix and Gardasil human papillomavirus vaccines in 12-15 year old girls. Plos One, 2013;8:e61825.</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108</w:t>
      </w:r>
      <w:r w:rsidRPr="00286852">
        <w:rPr>
          <w:rFonts w:ascii="Times New Roman" w:hAnsi="Times New Roman" w:cs="Times New Roman"/>
          <w:color w:val="auto"/>
          <w:sz w:val="20"/>
          <w:szCs w:val="20"/>
        </w:rPr>
        <w:t>Mesher D et al. Population-level effects of human papillomavirus vaccination programs on infections with nonvaccine genotypes. Emerg Infect Dis. 2016;22(10):1732–1740.</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109</w:t>
      </w:r>
      <w:r w:rsidRPr="00286852">
        <w:rPr>
          <w:rFonts w:ascii="Times New Roman" w:hAnsi="Times New Roman" w:cs="Times New Roman"/>
          <w:color w:val="auto"/>
          <w:sz w:val="20"/>
          <w:szCs w:val="20"/>
        </w:rPr>
        <w:t xml:space="preserve">Das R et al. Effectiveness, immunogenicity, and safety of Gardasil™ in pre-adolescents and adolescents- 10 years of follow-up. EUROGIN 2016. Available at </w:t>
      </w:r>
      <w:r w:rsidRPr="00286852">
        <w:rPr>
          <w:rFonts w:ascii="Times New Roman" w:hAnsi="Times New Roman" w:cs="Times New Roman"/>
          <w:color w:val="auto"/>
          <w:sz w:val="20"/>
          <w:szCs w:val="20"/>
        </w:rPr>
        <w:br/>
        <w:t xml:space="preserve">http://eurogin.com/2016/images/doc/eurogin-2016-abstracts-part-2.pdf, accessed </w:t>
      </w:r>
      <w:r w:rsidRPr="00286852">
        <w:rPr>
          <w:rFonts w:ascii="Times New Roman" w:hAnsi="Times New Roman" w:cs="Times New Roman"/>
          <w:color w:val="auto"/>
          <w:sz w:val="20"/>
          <w:szCs w:val="20"/>
        </w:rPr>
        <w:br/>
        <w:t>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110</w:t>
      </w:r>
      <w:r w:rsidRPr="00286852">
        <w:rPr>
          <w:rFonts w:ascii="Times New Roman" w:hAnsi="Times New Roman" w:cs="Times New Roman"/>
          <w:color w:val="auto"/>
          <w:sz w:val="20"/>
          <w:szCs w:val="20"/>
        </w:rPr>
        <w:t>Grading of scientific evidence – table VII: Duration of protection conferred by HPV vaccination in immunocompetent females. Available at http://www.who.int/immunization/position_papers/hpv_grad_duration_immunocompetent.pdf, accessed February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111</w:t>
      </w:r>
      <w:r w:rsidRPr="00286852">
        <w:rPr>
          <w:rFonts w:ascii="Times New Roman" w:hAnsi="Times New Roman" w:cs="Times New Roman"/>
          <w:color w:val="auto"/>
          <w:sz w:val="20"/>
          <w:szCs w:val="20"/>
        </w:rPr>
        <w:t xml:space="preserve">Global Advisory Committee on Vaccine Safety Statement on the continued safety of HPV vaccination. Available at http://www.who.int/vaccine_safety/committee/topics/hpv/GACVS_Statement_HPV_12_Mar_2014.pdf?ua=1, accessed February 2017. </w:t>
      </w:r>
    </w:p>
    <w:p w:rsidR="0092304F" w:rsidRPr="00286852" w:rsidRDefault="0092304F" w:rsidP="0092304F">
      <w:pPr>
        <w:pStyle w:val="Notefiletanblanc"/>
        <w:rPr>
          <w:rFonts w:ascii="Times New Roman" w:hAnsi="Times New Roman" w:cs="Times New Roman"/>
          <w:color w:val="auto"/>
          <w:sz w:val="20"/>
          <w:szCs w:val="20"/>
          <w:lang w:val="de-CH"/>
        </w:rPr>
      </w:pPr>
      <w:r w:rsidRPr="00286852">
        <w:rPr>
          <w:rFonts w:ascii="Times New Roman" w:hAnsi="Times New Roman" w:cs="Times New Roman"/>
          <w:color w:val="auto"/>
          <w:sz w:val="20"/>
          <w:szCs w:val="20"/>
          <w:vertAlign w:val="superscript"/>
          <w:lang w:val="de-CH"/>
        </w:rPr>
        <w:t>112</w:t>
      </w:r>
      <w:r w:rsidRPr="00286852">
        <w:rPr>
          <w:rFonts w:ascii="Times New Roman" w:hAnsi="Times New Roman" w:cs="Times New Roman"/>
          <w:color w:val="auto"/>
          <w:sz w:val="20"/>
          <w:szCs w:val="20"/>
          <w:vertAlign w:val="superscript"/>
          <w:lang w:val="en-US"/>
        </w:rPr>
        <w:t xml:space="preserve"> </w:t>
      </w:r>
      <w:r w:rsidRPr="00286852">
        <w:rPr>
          <w:rFonts w:ascii="Times New Roman" w:hAnsi="Times New Roman" w:cs="Times New Roman"/>
          <w:color w:val="auto"/>
          <w:sz w:val="20"/>
          <w:szCs w:val="20"/>
          <w:lang w:val="ru-RU"/>
        </w:rPr>
        <w:t>См</w:t>
      </w:r>
      <w:r w:rsidRPr="00286852">
        <w:rPr>
          <w:rFonts w:ascii="Times New Roman" w:hAnsi="Times New Roman" w:cs="Times New Roman"/>
          <w:color w:val="auto"/>
          <w:sz w:val="20"/>
          <w:szCs w:val="20"/>
          <w:lang w:val="en-US"/>
        </w:rPr>
        <w:t>.</w:t>
      </w:r>
      <w:r w:rsidRPr="00286852">
        <w:rPr>
          <w:rFonts w:ascii="Times New Roman" w:hAnsi="Times New Roman" w:cs="Times New Roman"/>
          <w:color w:val="auto"/>
          <w:sz w:val="20"/>
          <w:szCs w:val="20"/>
          <w:lang w:val="de-CH"/>
        </w:rPr>
        <w:t xml:space="preserve"> No 3, 2016, pp. 21–32.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lang w:val="de-CH"/>
        </w:rPr>
        <w:t>113</w:t>
      </w:r>
      <w:r w:rsidRPr="00286852">
        <w:rPr>
          <w:rFonts w:ascii="Times New Roman" w:hAnsi="Times New Roman" w:cs="Times New Roman"/>
          <w:color w:val="auto"/>
          <w:sz w:val="20"/>
          <w:szCs w:val="20"/>
          <w:vertAlign w:val="superscript"/>
          <w:lang w:val="en-US"/>
        </w:rPr>
        <w:t xml:space="preserve"> </w:t>
      </w:r>
      <w:r w:rsidRPr="00286852">
        <w:rPr>
          <w:rFonts w:ascii="Times New Roman" w:hAnsi="Times New Roman" w:cs="Times New Roman"/>
          <w:color w:val="auto"/>
          <w:sz w:val="20"/>
          <w:szCs w:val="20"/>
          <w:lang w:val="de-CH"/>
        </w:rPr>
        <w:t xml:space="preserve">Reiter PL et al. How much will it hurt? </w:t>
      </w:r>
      <w:r w:rsidRPr="00286852">
        <w:rPr>
          <w:rFonts w:ascii="Times New Roman" w:hAnsi="Times New Roman" w:cs="Times New Roman"/>
          <w:color w:val="auto"/>
          <w:sz w:val="20"/>
          <w:szCs w:val="20"/>
        </w:rPr>
        <w:t>HPV vaccine side effects and influence on completion of the three-dose regimen. Vaccine. 2009 Nov 16; 27(49): 6840–6844.</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114</w:t>
      </w:r>
      <w:r w:rsidRPr="00286852">
        <w:rPr>
          <w:rFonts w:ascii="Times New Roman" w:hAnsi="Times New Roman" w:cs="Times New Roman"/>
          <w:color w:val="auto"/>
          <w:sz w:val="20"/>
          <w:szCs w:val="20"/>
        </w:rPr>
        <w:t xml:space="preserve">Einstein MH et al. Comparative immunogenicity and safety of human papillomavirus (HPV)-16/18 vaccine and HPV-6/11/16/18 vaccine: follow-up from months 12-24 in a phase III randomized study of healthy women aged 18-45 years. Hum Vaccin, 2011; 7: 1343–1358. </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115</w:t>
      </w:r>
      <w:r w:rsidRPr="00286852">
        <w:rPr>
          <w:rFonts w:ascii="Times New Roman" w:hAnsi="Times New Roman" w:cs="Times New Roman"/>
          <w:color w:val="auto"/>
          <w:sz w:val="20"/>
          <w:szCs w:val="20"/>
        </w:rPr>
        <w:t xml:space="preserve">Grading of scientific evidence – table VIII: Safety of HPV vaccination in young </w:t>
      </w:r>
      <w:r w:rsidRPr="00286852">
        <w:rPr>
          <w:rFonts w:ascii="Times New Roman" w:hAnsi="Times New Roman" w:cs="Times New Roman"/>
          <w:color w:val="auto"/>
          <w:sz w:val="20"/>
          <w:szCs w:val="20"/>
        </w:rPr>
        <w:br/>
        <w:t>females. Available at http://www.who.int/immunization/position_papers/hpv_grad_safety.pdf,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116</w:t>
      </w:r>
      <w:r w:rsidRPr="00286852">
        <w:rPr>
          <w:rFonts w:ascii="Times New Roman" w:hAnsi="Times New Roman" w:cs="Times New Roman"/>
          <w:color w:val="auto"/>
          <w:sz w:val="20"/>
          <w:szCs w:val="20"/>
        </w:rPr>
        <w:t>Moreira ED et al. Safety Profile of the 9-Valent HPV Vaccine: A Combined Analysis of 7 Phase III Clinical Trials. Pediatrics.2016;138(2).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117</w:t>
      </w:r>
      <w:r w:rsidRPr="00286852">
        <w:rPr>
          <w:rFonts w:ascii="Times New Roman" w:hAnsi="Times New Roman" w:cs="Times New Roman"/>
          <w:color w:val="auto"/>
          <w:sz w:val="20"/>
          <w:szCs w:val="20"/>
        </w:rPr>
        <w:t>Andrews N. No increased risk of Guillain-Barré syndrome after human papilloma virus vaccine: A self-controlled case-series study in England. Vaccine. 2017 Mar 23;35(13):1729-1732.</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118</w:t>
      </w:r>
      <w:r w:rsidRPr="00286852">
        <w:rPr>
          <w:rFonts w:ascii="Times New Roman" w:hAnsi="Times New Roman" w:cs="Times New Roman"/>
          <w:color w:val="auto"/>
          <w:sz w:val="20"/>
          <w:szCs w:val="20"/>
        </w:rPr>
        <w:t>Angelo MG et al. Post-licensure safety surveillance for human papillomavirus-16/18-AS04-adjuvanted vaccine: more than 4 years of experience. Pharmacoepidemiol Drug Saf, 2014;23(5):456–465.</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119</w:t>
      </w:r>
      <w:r w:rsidRPr="00286852">
        <w:rPr>
          <w:rFonts w:ascii="Times New Roman" w:hAnsi="Times New Roman" w:cs="Times New Roman"/>
          <w:color w:val="auto"/>
          <w:sz w:val="20"/>
          <w:szCs w:val="20"/>
        </w:rPr>
        <w:t xml:space="preserve">Wacholder S et al. Risk of miscarriage with bivalent vaccine against human papillomavirus (HPV) types 16 and 18: pooled analysis of two randomised controlled trials. BMJ, 2010 Mar 2;340:c712.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120</w:t>
      </w:r>
      <w:r w:rsidRPr="00286852">
        <w:rPr>
          <w:rFonts w:ascii="Times New Roman" w:hAnsi="Times New Roman" w:cs="Times New Roman"/>
          <w:color w:val="auto"/>
          <w:sz w:val="20"/>
          <w:szCs w:val="20"/>
        </w:rPr>
        <w:t>FDA Cervarix. Full prescribing information, 2009. Available at http://www.fda.gov/downloads/biologicsbloodvaccines/vaccines/approvedproducts/ucm186981.pdf,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121</w:t>
      </w:r>
      <w:r w:rsidRPr="00286852">
        <w:rPr>
          <w:rFonts w:ascii="Times New Roman" w:hAnsi="Times New Roman" w:cs="Times New Roman"/>
          <w:color w:val="auto"/>
          <w:sz w:val="20"/>
          <w:szCs w:val="20"/>
        </w:rPr>
        <w:t>Scheller NM et al. Quadrivalent HPV Vaccination and the Risk of Adverse Pregnancy Outcomes. N Engl J Med 2017;376:1223–1233.</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122</w:t>
      </w:r>
      <w:r w:rsidRPr="00286852">
        <w:rPr>
          <w:rFonts w:ascii="Times New Roman" w:hAnsi="Times New Roman" w:cs="Times New Roman"/>
          <w:color w:val="auto"/>
          <w:sz w:val="20"/>
          <w:szCs w:val="20"/>
        </w:rPr>
        <w:t>Goss MA et al. No adverse signals observed after exposure to human papillomavirus type 6/11/16/18 vaccine during pregnancy: 6-year pregnancy registry data. Obstet Gynecol, 2014;123 Suppl 1:93S.</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123</w:t>
      </w:r>
      <w:r w:rsidRPr="00286852">
        <w:rPr>
          <w:rFonts w:ascii="Times New Roman" w:hAnsi="Times New Roman" w:cs="Times New Roman"/>
          <w:color w:val="auto"/>
          <w:sz w:val="20"/>
          <w:szCs w:val="20"/>
        </w:rPr>
        <w:t xml:space="preserve">Noronha AS et al. Systematic review of human papillomavirus vaccine coadministration. Vaccine 2014;32(23):2670–2674.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124</w:t>
      </w:r>
      <w:r w:rsidRPr="00286852">
        <w:rPr>
          <w:rFonts w:ascii="Times New Roman" w:hAnsi="Times New Roman" w:cs="Times New Roman"/>
          <w:color w:val="auto"/>
          <w:sz w:val="20"/>
          <w:szCs w:val="20"/>
        </w:rPr>
        <w:t xml:space="preserve">Schilling A et al. Coadministration of a 9-Valent Human Papillomavirus Vaccine With Meningococcal and Tdap Vaccines. Pediatrics. 2015 Sep;136(3):e563–72. </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125</w:t>
      </w:r>
      <w:r w:rsidRPr="00286852">
        <w:rPr>
          <w:rFonts w:ascii="Times New Roman" w:hAnsi="Times New Roman" w:cs="Times New Roman"/>
          <w:color w:val="auto"/>
          <w:sz w:val="20"/>
          <w:szCs w:val="20"/>
        </w:rPr>
        <w:t>Human papilloma virus (HPV) vaccination: an updated systematic review of cost-effectiveness analyses. Available at http://www.who.int/immunization/sage/meetings/2016/october/SAGE_yellow_book_october_2016.pdf?ua=1, assessed March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126</w:t>
      </w:r>
      <w:r w:rsidRPr="00286852">
        <w:rPr>
          <w:rFonts w:ascii="Times New Roman" w:hAnsi="Times New Roman" w:cs="Times New Roman"/>
          <w:color w:val="auto"/>
          <w:sz w:val="20"/>
          <w:szCs w:val="20"/>
        </w:rPr>
        <w:t>Modelling estimates of the incremental effectiveness &amp; cost-effectiveness of HPV vaccination. Available at http://www.who.int/immunization/sage/meetings/2016/</w:t>
      </w:r>
      <w:r w:rsidRPr="00286852">
        <w:rPr>
          <w:rFonts w:ascii="Times New Roman" w:hAnsi="Times New Roman" w:cs="Times New Roman"/>
          <w:color w:val="auto"/>
          <w:w w:val="98"/>
          <w:sz w:val="20"/>
          <w:szCs w:val="20"/>
        </w:rPr>
        <w:t>october/07_Modelling_HPV_immunization_strategies.pdf?ua=1, accessed February</w:t>
      </w:r>
      <w:r w:rsidRPr="00286852">
        <w:rPr>
          <w:rFonts w:ascii="Times New Roman" w:hAnsi="Times New Roman" w:cs="Times New Roman"/>
          <w:color w:val="auto"/>
          <w:sz w:val="20"/>
          <w:szCs w:val="20"/>
        </w:rPr>
        <w:t xml:space="preserve">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127</w:t>
      </w:r>
      <w:r w:rsidRPr="00286852">
        <w:rPr>
          <w:rFonts w:ascii="Times New Roman" w:hAnsi="Times New Roman" w:cs="Times New Roman"/>
          <w:color w:val="auto"/>
          <w:sz w:val="20"/>
          <w:szCs w:val="20"/>
        </w:rPr>
        <w:t>Fesenfeld M et al. Cost-effectiveness of human papillomavirus vaccination in low and middle income countries: a systematic review. Vaccine. 2013 Aug 20;31(37):3786-804.</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lastRenderedPageBreak/>
        <w:t>128</w:t>
      </w:r>
      <w:r w:rsidRPr="00286852">
        <w:rPr>
          <w:rFonts w:ascii="Times New Roman" w:hAnsi="Times New Roman" w:cs="Times New Roman"/>
          <w:color w:val="auto"/>
          <w:sz w:val="20"/>
          <w:szCs w:val="20"/>
        </w:rPr>
        <w:t>Guide to introducing HPV vaccine into national immunization programmes. World Health Organization, Geneva, 2017. Available at http://apps.who.int/iris/bitstream/10665/253123/1/9789241549769-eng.pdf?ua=1, accessed February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129</w:t>
      </w:r>
      <w:r w:rsidRPr="00286852">
        <w:rPr>
          <w:rFonts w:ascii="Times New Roman" w:hAnsi="Times New Roman" w:cs="Times New Roman"/>
          <w:color w:val="auto"/>
          <w:sz w:val="20"/>
          <w:szCs w:val="20"/>
        </w:rPr>
        <w:t>Evidence to recommendation table. Assessment of gender-based immunization. Available at http://www.who.int/entity/immunization/policy/position_papers/hpv_gender_recommendation_table.pdf, accessed May 2017.</w:t>
      </w:r>
    </w:p>
    <w:p w:rsidR="0092304F" w:rsidRPr="00286852"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130</w:t>
      </w:r>
      <w:r w:rsidRPr="00286852">
        <w:rPr>
          <w:rFonts w:ascii="Times New Roman" w:hAnsi="Times New Roman" w:cs="Times New Roman"/>
          <w:color w:val="auto"/>
          <w:sz w:val="20"/>
          <w:szCs w:val="20"/>
        </w:rPr>
        <w:t>Evidence to recommendation table. Vaccination of multiple female age-cohorts. Available at http://www.who.int/entity/immunization/policy/position_papers/hpv_female_age_cohorts_recommendation_table.pdf, accessed May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131</w:t>
      </w:r>
      <w:r w:rsidRPr="00286852">
        <w:rPr>
          <w:rFonts w:ascii="Times New Roman" w:hAnsi="Times New Roman" w:cs="Times New Roman"/>
          <w:color w:val="auto"/>
          <w:sz w:val="20"/>
          <w:szCs w:val="20"/>
        </w:rPr>
        <w:t>Evidence to recommendation table on choice of vaccine. Available at http://www.who.int/entity/immunization/policy/position_papers/hpv_choice_recommendation_table.pdf, accessed May 2017.</w:t>
      </w:r>
    </w:p>
    <w:p w:rsidR="0092304F" w:rsidRPr="00286852" w:rsidRDefault="0092304F" w:rsidP="0092304F">
      <w:pPr>
        <w:pStyle w:val="Notefiletan"/>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132</w:t>
      </w:r>
      <w:r w:rsidRPr="00286852">
        <w:rPr>
          <w:rFonts w:ascii="Times New Roman" w:hAnsi="Times New Roman" w:cs="Times New Roman"/>
          <w:color w:val="auto"/>
          <w:sz w:val="20"/>
          <w:szCs w:val="20"/>
          <w:lang w:val="ru-RU"/>
        </w:rPr>
        <w:t>См</w:t>
      </w:r>
      <w:r w:rsidRPr="00286852">
        <w:rPr>
          <w:rFonts w:ascii="Times New Roman" w:hAnsi="Times New Roman" w:cs="Times New Roman"/>
          <w:color w:val="auto"/>
          <w:sz w:val="20"/>
          <w:szCs w:val="20"/>
          <w:lang w:val="en-US"/>
        </w:rPr>
        <w:t>.</w:t>
      </w:r>
      <w:r w:rsidRPr="00286852">
        <w:rPr>
          <w:rFonts w:ascii="Times New Roman" w:hAnsi="Times New Roman" w:cs="Times New Roman"/>
          <w:color w:val="auto"/>
          <w:sz w:val="20"/>
          <w:szCs w:val="20"/>
        </w:rPr>
        <w:t xml:space="preserve"> No. 25, 2010, pp. 237–243. </w:t>
      </w:r>
    </w:p>
    <w:p w:rsidR="0092304F" w:rsidRDefault="0092304F" w:rsidP="0092304F">
      <w:pPr>
        <w:pStyle w:val="Notefiletanblanc"/>
        <w:rPr>
          <w:rFonts w:ascii="Times New Roman" w:hAnsi="Times New Roman" w:cs="Times New Roman"/>
          <w:color w:val="auto"/>
          <w:sz w:val="20"/>
          <w:szCs w:val="20"/>
        </w:rPr>
      </w:pPr>
      <w:r w:rsidRPr="00286852">
        <w:rPr>
          <w:rFonts w:ascii="Times New Roman" w:hAnsi="Times New Roman" w:cs="Times New Roman"/>
          <w:color w:val="auto"/>
          <w:sz w:val="20"/>
          <w:szCs w:val="20"/>
          <w:vertAlign w:val="superscript"/>
        </w:rPr>
        <w:t>133</w:t>
      </w:r>
      <w:r w:rsidRPr="00286852">
        <w:rPr>
          <w:rFonts w:ascii="Times New Roman" w:hAnsi="Times New Roman" w:cs="Times New Roman"/>
          <w:color w:val="auto"/>
          <w:sz w:val="20"/>
          <w:szCs w:val="20"/>
        </w:rPr>
        <w:t>International Agency for Research on Cancer. Planning and Developing Population-Based Cancer Registration in Low- and Middle-Income Settings Available at http://www.iarc.fr/en/publications/pdfs-online/treport-pub/treport-pub43/index.php, accessed February 2017.</w:t>
      </w:r>
    </w:p>
    <w:p w:rsidR="00421CB1" w:rsidRPr="0092304F" w:rsidRDefault="00421CB1" w:rsidP="00421CB1">
      <w:pPr>
        <w:spacing w:line="360" w:lineRule="auto"/>
        <w:jc w:val="both"/>
        <w:rPr>
          <w:rFonts w:ascii="GHEA Grapalat" w:eastAsia="Times New Roman" w:hAnsi="GHEA Grapalat"/>
          <w:sz w:val="24"/>
          <w:szCs w:val="24"/>
          <w:lang w:val="fr-FR"/>
        </w:rPr>
      </w:pPr>
    </w:p>
    <w:p w:rsidR="00A47CB6" w:rsidRPr="00A47CB6" w:rsidRDefault="00A47CB6" w:rsidP="00CB4DBF">
      <w:pPr>
        <w:spacing w:line="360" w:lineRule="auto"/>
        <w:jc w:val="both"/>
        <w:rPr>
          <w:rFonts w:ascii="GHEA Grapalat" w:eastAsia="Times New Roman" w:hAnsi="GHEA Grapalat"/>
          <w:sz w:val="24"/>
          <w:szCs w:val="24"/>
          <w:lang w:val="hy-AM"/>
        </w:rPr>
      </w:pPr>
    </w:p>
    <w:p w:rsidR="000A5EF4" w:rsidRPr="00A47CB6" w:rsidRDefault="000A5EF4" w:rsidP="006054BF">
      <w:pPr>
        <w:spacing w:line="360" w:lineRule="auto"/>
        <w:jc w:val="both"/>
        <w:rPr>
          <w:rFonts w:ascii="GHEA Grapalat" w:eastAsia="Times New Roman" w:hAnsi="GHEA Grapalat"/>
          <w:sz w:val="24"/>
          <w:szCs w:val="24"/>
          <w:lang w:val="hy-AM"/>
        </w:rPr>
      </w:pPr>
    </w:p>
    <w:sectPr w:rsidR="000A5EF4" w:rsidRPr="00A47CB6" w:rsidSect="00421CB1">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utiger LT 57 Cn">
    <w:altName w:val="Arial"/>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Minion Web">
    <w:altName w:val="Minion Web"/>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97"/>
    <w:rsid w:val="000258E8"/>
    <w:rsid w:val="00026F92"/>
    <w:rsid w:val="000301AD"/>
    <w:rsid w:val="000504E9"/>
    <w:rsid w:val="00066B8A"/>
    <w:rsid w:val="000711A4"/>
    <w:rsid w:val="000867C5"/>
    <w:rsid w:val="000A5EF4"/>
    <w:rsid w:val="000B0766"/>
    <w:rsid w:val="000D11F7"/>
    <w:rsid w:val="000D5EA1"/>
    <w:rsid w:val="000E6F8B"/>
    <w:rsid w:val="00112822"/>
    <w:rsid w:val="001243D1"/>
    <w:rsid w:val="00174C5E"/>
    <w:rsid w:val="0019670C"/>
    <w:rsid w:val="001E3D12"/>
    <w:rsid w:val="001F2F40"/>
    <w:rsid w:val="00204E53"/>
    <w:rsid w:val="00221C64"/>
    <w:rsid w:val="00234FD5"/>
    <w:rsid w:val="00240A09"/>
    <w:rsid w:val="0024435A"/>
    <w:rsid w:val="002518D1"/>
    <w:rsid w:val="00282AC8"/>
    <w:rsid w:val="002840FD"/>
    <w:rsid w:val="00286852"/>
    <w:rsid w:val="002B707E"/>
    <w:rsid w:val="002C4918"/>
    <w:rsid w:val="002E1BFC"/>
    <w:rsid w:val="002E39B7"/>
    <w:rsid w:val="002E5BB9"/>
    <w:rsid w:val="00303B5D"/>
    <w:rsid w:val="003042D5"/>
    <w:rsid w:val="0034014E"/>
    <w:rsid w:val="003407E4"/>
    <w:rsid w:val="003824CF"/>
    <w:rsid w:val="0038781E"/>
    <w:rsid w:val="003924DC"/>
    <w:rsid w:val="00392B67"/>
    <w:rsid w:val="00394279"/>
    <w:rsid w:val="003D3F0B"/>
    <w:rsid w:val="003F72D3"/>
    <w:rsid w:val="003F770B"/>
    <w:rsid w:val="00404DAB"/>
    <w:rsid w:val="00411643"/>
    <w:rsid w:val="00421CB1"/>
    <w:rsid w:val="00434EEF"/>
    <w:rsid w:val="00462C26"/>
    <w:rsid w:val="0047517E"/>
    <w:rsid w:val="004804B2"/>
    <w:rsid w:val="004D450F"/>
    <w:rsid w:val="005021FB"/>
    <w:rsid w:val="00520F02"/>
    <w:rsid w:val="00525762"/>
    <w:rsid w:val="00533646"/>
    <w:rsid w:val="005412A2"/>
    <w:rsid w:val="00556389"/>
    <w:rsid w:val="005675FB"/>
    <w:rsid w:val="00574E41"/>
    <w:rsid w:val="00582B1B"/>
    <w:rsid w:val="005836A0"/>
    <w:rsid w:val="00584C06"/>
    <w:rsid w:val="00597490"/>
    <w:rsid w:val="005A6BB1"/>
    <w:rsid w:val="005B4597"/>
    <w:rsid w:val="005B60A7"/>
    <w:rsid w:val="005B63BE"/>
    <w:rsid w:val="005C38FB"/>
    <w:rsid w:val="005E13AB"/>
    <w:rsid w:val="005E1D65"/>
    <w:rsid w:val="005E64F6"/>
    <w:rsid w:val="005F580B"/>
    <w:rsid w:val="006054BF"/>
    <w:rsid w:val="00606E44"/>
    <w:rsid w:val="00622526"/>
    <w:rsid w:val="0064544C"/>
    <w:rsid w:val="006519C1"/>
    <w:rsid w:val="0066178F"/>
    <w:rsid w:val="0067118B"/>
    <w:rsid w:val="0067546E"/>
    <w:rsid w:val="006827A3"/>
    <w:rsid w:val="00687A9B"/>
    <w:rsid w:val="006A3D15"/>
    <w:rsid w:val="006C2408"/>
    <w:rsid w:val="006D70CC"/>
    <w:rsid w:val="006E04C6"/>
    <w:rsid w:val="00713E7A"/>
    <w:rsid w:val="00724E95"/>
    <w:rsid w:val="007313A5"/>
    <w:rsid w:val="00753C0A"/>
    <w:rsid w:val="007609CA"/>
    <w:rsid w:val="0077161C"/>
    <w:rsid w:val="007918F4"/>
    <w:rsid w:val="007E7A74"/>
    <w:rsid w:val="00873751"/>
    <w:rsid w:val="0088177C"/>
    <w:rsid w:val="008A7C48"/>
    <w:rsid w:val="008B4786"/>
    <w:rsid w:val="008B651A"/>
    <w:rsid w:val="008F5EB4"/>
    <w:rsid w:val="00900213"/>
    <w:rsid w:val="009103D7"/>
    <w:rsid w:val="0092304F"/>
    <w:rsid w:val="00955324"/>
    <w:rsid w:val="009C4EB0"/>
    <w:rsid w:val="009F2A40"/>
    <w:rsid w:val="009F5133"/>
    <w:rsid w:val="00A13CF6"/>
    <w:rsid w:val="00A30414"/>
    <w:rsid w:val="00A42539"/>
    <w:rsid w:val="00A46F67"/>
    <w:rsid w:val="00A47CB6"/>
    <w:rsid w:val="00A574D6"/>
    <w:rsid w:val="00AA48A7"/>
    <w:rsid w:val="00AA5B69"/>
    <w:rsid w:val="00AB3B9D"/>
    <w:rsid w:val="00AE10BE"/>
    <w:rsid w:val="00AE297F"/>
    <w:rsid w:val="00B03C92"/>
    <w:rsid w:val="00B0460F"/>
    <w:rsid w:val="00B2741C"/>
    <w:rsid w:val="00B32ABD"/>
    <w:rsid w:val="00B44B01"/>
    <w:rsid w:val="00B77D3F"/>
    <w:rsid w:val="00B92781"/>
    <w:rsid w:val="00BB46A8"/>
    <w:rsid w:val="00BE66E5"/>
    <w:rsid w:val="00C1150A"/>
    <w:rsid w:val="00C27566"/>
    <w:rsid w:val="00C509CF"/>
    <w:rsid w:val="00C56824"/>
    <w:rsid w:val="00C6317D"/>
    <w:rsid w:val="00C65763"/>
    <w:rsid w:val="00CA0810"/>
    <w:rsid w:val="00CB4DBF"/>
    <w:rsid w:val="00CB75BB"/>
    <w:rsid w:val="00CC277C"/>
    <w:rsid w:val="00CE2F4B"/>
    <w:rsid w:val="00CF24B6"/>
    <w:rsid w:val="00D02A7F"/>
    <w:rsid w:val="00D04B6A"/>
    <w:rsid w:val="00D22312"/>
    <w:rsid w:val="00D2291E"/>
    <w:rsid w:val="00D3275D"/>
    <w:rsid w:val="00D5144C"/>
    <w:rsid w:val="00D547B6"/>
    <w:rsid w:val="00D77FCA"/>
    <w:rsid w:val="00D83584"/>
    <w:rsid w:val="00D9032C"/>
    <w:rsid w:val="00DA0C04"/>
    <w:rsid w:val="00DD6B83"/>
    <w:rsid w:val="00DE7053"/>
    <w:rsid w:val="00DF3244"/>
    <w:rsid w:val="00DF7944"/>
    <w:rsid w:val="00E06BC0"/>
    <w:rsid w:val="00E25817"/>
    <w:rsid w:val="00E260E5"/>
    <w:rsid w:val="00E26C52"/>
    <w:rsid w:val="00E32474"/>
    <w:rsid w:val="00E35500"/>
    <w:rsid w:val="00E419C9"/>
    <w:rsid w:val="00E45F07"/>
    <w:rsid w:val="00E619FA"/>
    <w:rsid w:val="00E63FF0"/>
    <w:rsid w:val="00E84E15"/>
    <w:rsid w:val="00EB6DCA"/>
    <w:rsid w:val="00EC3709"/>
    <w:rsid w:val="00ED7551"/>
    <w:rsid w:val="00EE263E"/>
    <w:rsid w:val="00F266AA"/>
    <w:rsid w:val="00FA6549"/>
    <w:rsid w:val="00FB10C3"/>
    <w:rsid w:val="00FB41ED"/>
    <w:rsid w:val="00FD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705A8-562B-4A45-A4AE-08BDB381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04C6"/>
    <w:rPr>
      <w:i/>
      <w:iCs/>
    </w:rPr>
  </w:style>
  <w:style w:type="character" w:styleId="Hyperlink">
    <w:name w:val="Hyperlink"/>
    <w:basedOn w:val="DefaultParagraphFont"/>
    <w:uiPriority w:val="99"/>
    <w:unhideWhenUsed/>
    <w:rsid w:val="00E619FA"/>
    <w:rPr>
      <w:color w:val="0563C1" w:themeColor="hyperlink"/>
      <w:u w:val="single"/>
    </w:rPr>
  </w:style>
  <w:style w:type="character" w:customStyle="1" w:styleId="Hyperlien">
    <w:name w:val="Hyperlien"/>
    <w:uiPriority w:val="99"/>
    <w:rsid w:val="0092304F"/>
    <w:rPr>
      <w:color w:val="BC0005"/>
      <w:u w:val="none"/>
    </w:rPr>
  </w:style>
  <w:style w:type="paragraph" w:customStyle="1" w:styleId="Notefiletanblanc">
    <w:name w:val="Note +filet.an blanc"/>
    <w:basedOn w:val="Normal"/>
    <w:uiPriority w:val="99"/>
    <w:rsid w:val="0092304F"/>
    <w:pPr>
      <w:tabs>
        <w:tab w:val="left" w:pos="142"/>
      </w:tabs>
      <w:autoSpaceDE w:val="0"/>
      <w:autoSpaceDN w:val="0"/>
      <w:adjustRightInd w:val="0"/>
      <w:spacing w:before="57" w:after="0" w:line="160" w:lineRule="atLeast"/>
      <w:ind w:left="142" w:hanging="142"/>
      <w:jc w:val="both"/>
      <w:textAlignment w:val="center"/>
    </w:pPr>
    <w:rPr>
      <w:rFonts w:ascii="Frutiger LT 57 Cn" w:hAnsi="Frutiger LT 57 Cn" w:cs="Frutiger LT 57 Cn"/>
      <w:color w:val="000000"/>
      <w:sz w:val="14"/>
      <w:szCs w:val="14"/>
      <w:lang w:val="fr-FR"/>
    </w:rPr>
  </w:style>
  <w:style w:type="paragraph" w:customStyle="1" w:styleId="Notefiletan">
    <w:name w:val="Note +filet.an"/>
    <w:basedOn w:val="Normal"/>
    <w:uiPriority w:val="99"/>
    <w:rsid w:val="0092304F"/>
    <w:pPr>
      <w:pBdr>
        <w:top w:val="single" w:sz="4" w:space="10" w:color="000000"/>
      </w:pBdr>
      <w:tabs>
        <w:tab w:val="left" w:pos="142"/>
      </w:tabs>
      <w:autoSpaceDE w:val="0"/>
      <w:autoSpaceDN w:val="0"/>
      <w:adjustRightInd w:val="0"/>
      <w:spacing w:after="0" w:line="160" w:lineRule="atLeast"/>
      <w:ind w:left="142" w:hanging="142"/>
      <w:jc w:val="both"/>
    </w:pPr>
    <w:rPr>
      <w:rFonts w:ascii="Frutiger LT 57 Cn" w:hAnsi="Frutiger LT 57 Cn" w:cs="Frutiger LT 57 Cn"/>
      <w:color w:val="000000"/>
      <w:sz w:val="14"/>
      <w:szCs w:val="14"/>
      <w:lang w:val="fr-FR"/>
    </w:rPr>
  </w:style>
  <w:style w:type="paragraph" w:customStyle="1" w:styleId="Notefiletan1p">
    <w:name w:val="Note+filet.an_1p"/>
    <w:basedOn w:val="Notefiletan"/>
    <w:uiPriority w:val="99"/>
    <w:rsid w:val="0092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ho.int/immunization/position_papers/position_paper_%20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13378</Words>
  <Characters>76255</Characters>
  <Application>Microsoft Office Word</Application>
  <DocSecurity>0</DocSecurity>
  <Lines>635</Lines>
  <Paragraphs>178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Yana Boyajyan</cp:lastModifiedBy>
  <cp:revision>2</cp:revision>
  <dcterms:created xsi:type="dcterms:W3CDTF">2017-10-18T13:19:00Z</dcterms:created>
  <dcterms:modified xsi:type="dcterms:W3CDTF">2017-10-18T13:19:00Z</dcterms:modified>
</cp:coreProperties>
</file>