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BCF" w:rsidRPr="00E60162" w:rsidRDefault="00994BCF" w:rsidP="00994BCF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color w:val="000000"/>
          <w:sz w:val="24"/>
          <w:szCs w:val="24"/>
          <w:lang w:val="hy-AM"/>
        </w:rPr>
        <w:t>Տ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ԵՂԵԿԱՆՔ</w:t>
      </w:r>
    </w:p>
    <w:p w:rsidR="00994BCF" w:rsidRPr="00E60162" w:rsidRDefault="00994BCF" w:rsidP="00994BCF">
      <w:pPr>
        <w:widowControl w:val="0"/>
        <w:adjustRightInd w:val="0"/>
        <w:spacing w:after="0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60162">
        <w:rPr>
          <w:rFonts w:ascii="GHEA Grapalat" w:hAnsi="GHEA Grapalat" w:cs="Sylfaen"/>
          <w:sz w:val="24"/>
          <w:szCs w:val="24"/>
          <w:lang w:val="af-ZA"/>
        </w:rPr>
        <w:t>«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ԿԱՌԱՎԱՐՈՒԹՅԱՆ 200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4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ԹՎԱԿԱՆԻ 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ՄԱՐՏԻ 4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-Ի 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ԹԻՎ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318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-Ն ՈՐՈՇՄԱՆ ՄԵՋ ՓՈՓՈԽՈՒԹՅՈՒՆ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ՆԵՐ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ԵՎ ԼՐԱՑՈՒՄ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ՆԵՐ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ԿԱՏԱՐԵԼՈՒ ՄԱՍԻՆ</w:t>
      </w:r>
      <w:r w:rsidRPr="00E60162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60162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ՈՐՈՇՄԱՆ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</w:t>
      </w:r>
      <w:r w:rsidRPr="00E601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994BCF" w:rsidRPr="00E60162" w:rsidRDefault="00994BCF" w:rsidP="00994BCF">
      <w:pPr>
        <w:widowControl w:val="0"/>
        <w:adjustRightInd w:val="0"/>
        <w:spacing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994BCF" w:rsidRDefault="00994BCF" w:rsidP="00994BCF">
      <w:pPr>
        <w:widowControl w:val="0"/>
        <w:adjustRightInd w:val="0"/>
        <w:spacing w:before="100" w:beforeAutospacing="1" w:after="100" w:afterAutospacing="1" w:line="360" w:lineRule="auto"/>
        <w:ind w:firstLine="567"/>
        <w:jc w:val="both"/>
        <w:textAlignment w:val="baseline"/>
        <w:rPr>
          <w:rFonts w:ascii="GHEA Grapalat" w:hAnsi="GHEA Grapalat"/>
          <w:color w:val="000000"/>
          <w:sz w:val="24"/>
          <w:szCs w:val="24"/>
          <w:lang w:val="hy-AM"/>
        </w:rPr>
      </w:pPr>
      <w:r w:rsidRPr="00E60162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</w:t>
      </w:r>
      <w:r w:rsidRPr="00C84E3C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2004 թվականի մարտի 4-ի թիվ 318-Ն որոշման մեջ փոփոխություններ և լրացումներ կատարելու մասին</w:t>
      </w:r>
      <w:r w:rsidRPr="00E60162">
        <w:rPr>
          <w:rFonts w:ascii="GHEA Grapalat" w:hAnsi="GHEA Grapalat"/>
          <w:color w:val="000000"/>
          <w:sz w:val="24"/>
          <w:szCs w:val="24"/>
          <w:lang w:val="hy-AM"/>
        </w:rPr>
        <w:t>» Հայաստանի Հանրապետության կառավարության որոշման ընդունման կապակցությամբ պետական կամ տեղական ինքնակառավարման մարմնի բյուջեում եկամուտների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60162">
        <w:rPr>
          <w:rFonts w:ascii="GHEA Grapalat" w:hAnsi="GHEA Grapalat"/>
          <w:color w:val="000000"/>
          <w:sz w:val="24"/>
          <w:szCs w:val="24"/>
          <w:lang w:val="hy-AM"/>
        </w:rPr>
        <w:t>և ծախսերի ավելացում կամ նվազեցում չի նախատեսվում:</w:t>
      </w:r>
    </w:p>
    <w:tbl>
      <w:tblPr>
        <w:tblW w:w="5398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8"/>
        <w:gridCol w:w="1317"/>
        <w:gridCol w:w="1246"/>
        <w:gridCol w:w="1910"/>
        <w:gridCol w:w="1910"/>
        <w:gridCol w:w="1910"/>
      </w:tblGrid>
      <w:tr w:rsidR="00994BCF" w:rsidRPr="00DD546D" w:rsidTr="00052AA9">
        <w:trPr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ru-RU"/>
              </w:rPr>
              <w:t>Պետական բյուջեում կամ տեղական ինքնակառավարման մարմինների բյուջեների վրա ազդեցությունը</w:t>
            </w:r>
          </w:p>
        </w:tc>
      </w:tr>
      <w:tr w:rsidR="00994BCF" w:rsidRPr="00135D6F" w:rsidTr="00052AA9">
        <w:trPr>
          <w:jc w:val="center"/>
        </w:trPr>
        <w:tc>
          <w:tcPr>
            <w:tcW w:w="111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  <w:t xml:space="preserve">Ցուցանիշներ </w:t>
            </w:r>
          </w:p>
        </w:tc>
        <w:tc>
          <w:tcPr>
            <w:tcW w:w="1201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994BC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  <w:t>ընթացիկ (201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en-US" w:eastAsia="lv-LV"/>
              </w:rPr>
              <w:t>8</w:t>
            </w:r>
            <w:r w:rsidRPr="00135D6F"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  <w:t xml:space="preserve">թ.) տարի </w:t>
            </w:r>
          </w:p>
        </w:tc>
        <w:tc>
          <w:tcPr>
            <w:tcW w:w="268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Հաջորդող 3 տարիները </w:t>
            </w:r>
          </w:p>
        </w:tc>
      </w:tr>
      <w:tr w:rsidR="00994BCF" w:rsidRPr="00135D6F" w:rsidTr="00052AA9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</w:pP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994BC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  <w:lang w:eastAsia="lv-LV"/>
              </w:rPr>
            </w:pPr>
            <w:r w:rsidRPr="00135D6F"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  <w:t>201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4"/>
                <w:lang w:eastAsia="lv-LV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994BC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  <w:lang w:eastAsia="lv-LV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  <w:t>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994BC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4"/>
                <w:lang w:eastAsia="lv-LV"/>
              </w:rPr>
            </w:pPr>
            <w:r w:rsidRPr="00135D6F"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  <w:t>20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4"/>
                <w:lang w:eastAsia="lv-LV"/>
              </w:rPr>
              <w:t>21</w:t>
            </w:r>
          </w:p>
        </w:tc>
      </w:tr>
      <w:tr w:rsidR="00994BCF" w:rsidRPr="00DD546D" w:rsidTr="00052AA9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sz w:val="20"/>
                <w:szCs w:val="24"/>
                <w:lang w:val="hy-AM" w:eastAsia="lv-LV"/>
              </w:rPr>
            </w:pP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Ըստ 201</w:t>
            </w:r>
            <w:r w:rsidRPr="00994BC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8</w:t>
            </w: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թ. պետական բյուջեի  </w:t>
            </w:r>
          </w:p>
          <w:p w:rsidR="00994BCF" w:rsidRPr="00135D6F" w:rsidRDefault="00994BCF" w:rsidP="00052AA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994BC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փոխու-թյունը </w:t>
            </w:r>
            <w:r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նախոր</w:t>
            </w: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դ </w:t>
            </w:r>
            <w:r w:rsidR="00DD546D" w:rsidRPr="00DD546D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(n)</w:t>
            </w:r>
            <w:r w:rsidR="00DD546D">
              <w:rPr>
                <w:rFonts w:ascii="GHEA Grapalat" w:eastAsia="Times New Roman" w:hAnsi="GHEA Grapalat"/>
                <w:sz w:val="20"/>
                <w:szCs w:val="24"/>
                <w:lang w:val="en-US" w:eastAsia="lv-LV"/>
              </w:rPr>
              <w:t xml:space="preserve"> </w:t>
            </w: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տարվա պետական բյուջեի  համեմատ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DD546D" w:rsidRDefault="00994BCF" w:rsidP="00994BC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Փոփո</w:t>
            </w:r>
            <w:r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խությունն ընթացիկ տարվա համեմատ</w:t>
            </w: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 </w:t>
            </w:r>
            <w:r w:rsidR="00DD546D" w:rsidRPr="00DD546D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(n)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994BC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Փոփո</w:t>
            </w:r>
            <w:r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խությունն ընթացիկ տարվա համեմատ</w:t>
            </w: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 </w:t>
            </w:r>
            <w:r w:rsidR="00DD546D" w:rsidRPr="00DD546D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(n)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994BC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Փոփոխությունն ընթացիկ տարվա համեմատ </w:t>
            </w:r>
            <w:r w:rsidR="00DD546D" w:rsidRPr="00DD546D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(n)</w:t>
            </w:r>
          </w:p>
        </w:tc>
      </w:tr>
      <w:tr w:rsidR="00994BCF" w:rsidRPr="00135D6F" w:rsidTr="00052AA9">
        <w:trPr>
          <w:jc w:val="center"/>
        </w:trPr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lastRenderedPageBreak/>
              <w:t xml:space="preserve">1 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2 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3 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6 </w:t>
            </w:r>
          </w:p>
        </w:tc>
      </w:tr>
      <w:tr w:rsidR="00994BCF" w:rsidRPr="00135D6F" w:rsidTr="00052AA9">
        <w:trPr>
          <w:trHeight w:val="409"/>
          <w:jc w:val="center"/>
        </w:trPr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1.Եկամուտներ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994BCF" w:rsidRPr="00135D6F" w:rsidTr="00052AA9">
        <w:trPr>
          <w:jc w:val="center"/>
        </w:trPr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1.1. պետական բյուջեի եկամուտներ 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994BCF" w:rsidRPr="00135D6F" w:rsidTr="00052AA9">
        <w:trPr>
          <w:jc w:val="center"/>
        </w:trPr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1.2. ՏԻՄ եկամուտներ 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994BCF" w:rsidRPr="00135D6F" w:rsidTr="00052AA9">
        <w:trPr>
          <w:jc w:val="center"/>
        </w:trPr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2. Ծախսեր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994BCF" w:rsidRPr="00135D6F" w:rsidTr="00052AA9">
        <w:trPr>
          <w:jc w:val="center"/>
        </w:trPr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2.1. պետական բյուջեի ծախսեր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994BCF" w:rsidRPr="00135D6F" w:rsidTr="00052AA9">
        <w:trPr>
          <w:jc w:val="center"/>
        </w:trPr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 2.2. ՏԻՄ բյուջեի ծախսեր 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994BCF" w:rsidRPr="00135D6F" w:rsidTr="00052AA9">
        <w:trPr>
          <w:jc w:val="center"/>
        </w:trPr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3. Ֆիսկալ ազդեցության գնահատական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994BCF" w:rsidRPr="00135D6F" w:rsidTr="00052AA9">
        <w:trPr>
          <w:jc w:val="center"/>
        </w:trPr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3.1. պետական բյուջե 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994BCF" w:rsidRPr="00135D6F" w:rsidTr="00052AA9">
        <w:trPr>
          <w:jc w:val="center"/>
        </w:trPr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3.3. ՏԻՄ բյուջե </w:t>
            </w:r>
          </w:p>
        </w:tc>
        <w:tc>
          <w:tcPr>
            <w:tcW w:w="6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5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8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0</w:t>
            </w:r>
          </w:p>
        </w:tc>
      </w:tr>
      <w:tr w:rsidR="00994BCF" w:rsidRPr="00135D6F" w:rsidTr="00052AA9">
        <w:trPr>
          <w:jc w:val="center"/>
        </w:trPr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տեսքով): </w:t>
            </w:r>
          </w:p>
        </w:tc>
        <w:tc>
          <w:tcPr>
            <w:tcW w:w="3886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 </w:t>
            </w:r>
          </w:p>
        </w:tc>
      </w:tr>
      <w:tr w:rsidR="00994BCF" w:rsidRPr="00135D6F" w:rsidTr="00052AA9">
        <w:trPr>
          <w:jc w:val="center"/>
        </w:trPr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>4.1. Եկամուտների գնահատում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</w:p>
        </w:tc>
      </w:tr>
      <w:tr w:rsidR="00994BCF" w:rsidRPr="00135D6F" w:rsidTr="00052AA9">
        <w:trPr>
          <w:jc w:val="center"/>
        </w:trPr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4.2. Ծախսերի գնահատում 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4BCF" w:rsidRPr="00135D6F" w:rsidRDefault="00994BCF" w:rsidP="00052AA9">
            <w:pPr>
              <w:spacing w:after="0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</w:p>
        </w:tc>
      </w:tr>
      <w:tr w:rsidR="00994BCF" w:rsidRPr="00135D6F" w:rsidTr="00052AA9">
        <w:trPr>
          <w:jc w:val="center"/>
        </w:trPr>
        <w:tc>
          <w:tcPr>
            <w:tcW w:w="11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5.  Այլ տեղեկություններ </w:t>
            </w:r>
            <w:r w:rsidRPr="00135D6F">
              <w:rPr>
                <w:rFonts w:ascii="GHEA Grapalat" w:eastAsia="Times New Roman" w:hAnsi="GHEA Grapalat" w:cs="Sylfaen"/>
                <w:bCs/>
                <w:sz w:val="20"/>
                <w:szCs w:val="24"/>
                <w:lang w:val="hy-AM" w:eastAsia="ru-RU"/>
              </w:rPr>
              <w:t>(եթե այդպիսիք առկա են)</w:t>
            </w:r>
            <w:r w:rsidRPr="00135D6F"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  <w:t xml:space="preserve"> </w:t>
            </w:r>
          </w:p>
        </w:tc>
        <w:tc>
          <w:tcPr>
            <w:tcW w:w="388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94BCF" w:rsidRPr="00135D6F" w:rsidRDefault="00994BCF" w:rsidP="00052AA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/>
                <w:sz w:val="20"/>
                <w:szCs w:val="24"/>
                <w:lang w:val="hy-AM" w:eastAsia="lv-LV"/>
              </w:rPr>
            </w:pPr>
          </w:p>
        </w:tc>
      </w:tr>
    </w:tbl>
    <w:p w:rsidR="00994BCF" w:rsidRPr="00E60162" w:rsidRDefault="00994BCF" w:rsidP="00994BCF">
      <w:pPr>
        <w:widowControl w:val="0"/>
        <w:adjustRightInd w:val="0"/>
        <w:spacing w:before="100" w:beforeAutospacing="1" w:after="100" w:afterAutospacing="1" w:line="360" w:lineRule="auto"/>
        <w:ind w:firstLine="567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994BCF" w:rsidRPr="00E60162" w:rsidRDefault="00994BCF" w:rsidP="00994BCF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>ՏԵՂԵԿԱՆՔ</w:t>
      </w:r>
    </w:p>
    <w:p w:rsidR="00994BCF" w:rsidRPr="00E60162" w:rsidRDefault="00994BCF" w:rsidP="00994BCF">
      <w:pPr>
        <w:widowControl w:val="0"/>
        <w:adjustRightInd w:val="0"/>
        <w:spacing w:line="360" w:lineRule="atLeast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E60162">
        <w:rPr>
          <w:rFonts w:ascii="GHEA Grapalat" w:hAnsi="GHEA Grapalat" w:cs="Sylfaen"/>
          <w:sz w:val="24"/>
          <w:szCs w:val="24"/>
          <w:lang w:val="af-ZA"/>
        </w:rPr>
        <w:t>«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ԿԱՌԱՎԱՐՈՒԹՅԱՆ 200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4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ԹՎԱԿԱՆԻ 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ՄԱՐՏԻ 4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-Ի 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ԹԻՎ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318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-Ն ՈՐՈՇՄԱՆ ՄԵՋ ՓՈՓՈԽՈՒԹՅՈՒՆ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ՆԵՐ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ԵՎ ԼՐԱՑՈՒՄ</w:t>
      </w:r>
      <w:r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>ՆԵՐ</w:t>
      </w:r>
      <w:r w:rsidRPr="00E60162">
        <w:rPr>
          <w:rStyle w:val="Strong"/>
          <w:rFonts w:ascii="GHEA Grapalat" w:hAnsi="GHEA Grapalat" w:cs="GHEA Grapalat"/>
          <w:color w:val="000000"/>
          <w:sz w:val="24"/>
          <w:szCs w:val="24"/>
          <w:lang w:val="hy-AM"/>
        </w:rPr>
        <w:t xml:space="preserve"> ԿԱՏԱՐԵԼՈՒ ՄԱՍԻՆ</w:t>
      </w:r>
      <w:r w:rsidRPr="00E60162">
        <w:rPr>
          <w:rFonts w:ascii="GHEA Grapalat" w:hAnsi="GHEA Grapalat" w:cs="Sylfaen"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60162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ԿԱՌԱՎԱՐՈՒԹՅԱՆ ՈՐՈՇՄԱՆ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ԸՆԴՈՒՆՄԱՆ ԿԱՊԱԿՑՈՒԹՅԱՄԲ ԱՅԼ ՆՈՐՄԱՏԻՎ ԻՐԱՎԱԿԱՆ </w:t>
      </w:r>
      <w:r w:rsidRPr="00E60162"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>ԱԿՏԵՐԻ ԸՆԴՈՒՆՄԱՆ ԱՆՀՐԱԺԵՇՏՈՒԹՅԱՆ ՄԱՍԻՆ</w:t>
      </w:r>
    </w:p>
    <w:p w:rsidR="00994BCF" w:rsidRPr="00E60162" w:rsidRDefault="00994BCF" w:rsidP="00994BCF">
      <w:pPr>
        <w:widowControl w:val="0"/>
        <w:adjustRightInd w:val="0"/>
        <w:spacing w:before="100" w:beforeAutospacing="1" w:after="100" w:afterAutospacing="1" w:line="360" w:lineRule="atLeast"/>
        <w:ind w:firstLine="284"/>
        <w:jc w:val="center"/>
        <w:textAlignment w:val="baseline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994BCF" w:rsidRDefault="00994BCF" w:rsidP="00994BCF">
      <w:pPr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E60162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կառավարության </w:t>
      </w:r>
      <w:r w:rsidRPr="00C84E3C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2004 թվականի մարտի 4-ի թիվ 318-Ն որոշման մեջ փոփոխություններ և լրացումներ կատարելու մասին</w:t>
      </w:r>
      <w:r w:rsidRPr="00E60162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00370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ընդունման կապակցությամբ անհրաժեշտություն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00370C">
        <w:rPr>
          <w:rFonts w:ascii="GHEA Grapalat" w:hAnsi="GHEA Grapalat"/>
          <w:sz w:val="24"/>
          <w:szCs w:val="24"/>
          <w:lang w:val="hy-AM"/>
        </w:rPr>
        <w:t>առաջանա</w:t>
      </w:r>
      <w:r>
        <w:rPr>
          <w:rFonts w:ascii="GHEA Grapalat" w:hAnsi="GHEA Grapalat"/>
          <w:sz w:val="24"/>
          <w:szCs w:val="24"/>
          <w:lang w:val="hy-AM"/>
        </w:rPr>
        <w:t xml:space="preserve"> ընդունելու ՀՀ առողջապահության նախարարի հրամաններ:</w:t>
      </w:r>
    </w:p>
    <w:p w:rsidR="00227250" w:rsidRPr="00994BCF" w:rsidRDefault="00227250">
      <w:pPr>
        <w:rPr>
          <w:lang w:val="hy-AM"/>
        </w:rPr>
      </w:pPr>
    </w:p>
    <w:sectPr w:rsidR="00227250" w:rsidRPr="00994BCF" w:rsidSect="00994BCF"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A3"/>
    <w:rsid w:val="00227250"/>
    <w:rsid w:val="004A2698"/>
    <w:rsid w:val="007C3505"/>
    <w:rsid w:val="00994BCF"/>
    <w:rsid w:val="00C904A3"/>
    <w:rsid w:val="00DD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90B4D-894A-4C2A-B4A0-6961E7BF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BCF"/>
    <w:pPr>
      <w:spacing w:after="200" w:line="276" w:lineRule="auto"/>
    </w:pPr>
    <w:rPr>
      <w:rFonts w:ascii="Calibri" w:eastAsia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94BC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Health Agency, Ministry of Healthcare of Repub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Shirvanyan</dc:creator>
  <cp:keywords/>
  <dc:description/>
  <cp:lastModifiedBy>Yana Boyajyan</cp:lastModifiedBy>
  <cp:revision>2</cp:revision>
  <dcterms:created xsi:type="dcterms:W3CDTF">2018-03-17T07:33:00Z</dcterms:created>
  <dcterms:modified xsi:type="dcterms:W3CDTF">2018-03-17T07:33:00Z</dcterms:modified>
</cp:coreProperties>
</file>