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28" w:rsidRDefault="007A44C3" w:rsidP="001E7628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</w:t>
      </w:r>
      <w:r w:rsidR="00690E41">
        <w:rPr>
          <w:rFonts w:ascii="GHEA Grapalat" w:hAnsi="GHEA Grapalat"/>
        </w:rPr>
        <w:t>ԱԽԱԳԻԾ</w:t>
      </w:r>
    </w:p>
    <w:p w:rsidR="001E7628" w:rsidRPr="00256F00" w:rsidRDefault="001E7628" w:rsidP="001E762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 w:rsidRPr="00256F00">
        <w:rPr>
          <w:rFonts w:ascii="GHEA Grapalat" w:eastAsiaTheme="minorHAnsi" w:hAnsi="GHEA Grapalat" w:cstheme="minorBidi"/>
          <w:b/>
          <w:bCs/>
        </w:rPr>
        <w:t>ՀԱՅԱՍՏԱՆԻ ՀԱՆՐԱՊԵՏՈՒԹՅԱՆ ԿԱՌԱՎԱՐՈՒԹՅՈՒՆ</w:t>
      </w:r>
    </w:p>
    <w:p w:rsidR="001E7628" w:rsidRPr="00256F00" w:rsidRDefault="001E7628" w:rsidP="001E7628">
      <w:pPr>
        <w:pStyle w:val="NormalWeb"/>
        <w:spacing w:before="0" w:beforeAutospacing="0" w:after="0" w:afterAutospacing="0"/>
        <w:rPr>
          <w:rFonts w:ascii="GHEA Grapalat" w:eastAsiaTheme="minorHAnsi" w:hAnsi="GHEA Grapalat" w:cstheme="minorBidi"/>
          <w:sz w:val="22"/>
          <w:szCs w:val="22"/>
        </w:rPr>
      </w:pPr>
      <w:r w:rsidRPr="00256F00">
        <w:rPr>
          <w:rFonts w:ascii="GHEA Grapalat" w:eastAsiaTheme="minorHAnsi" w:hAnsi="GHEA Grapalat" w:cstheme="minorBidi"/>
          <w:sz w:val="22"/>
          <w:szCs w:val="22"/>
        </w:rPr>
        <w:t> </w:t>
      </w:r>
      <w:bookmarkStart w:id="0" w:name="_GoBack"/>
      <w:bookmarkEnd w:id="0"/>
    </w:p>
    <w:p w:rsidR="001E7628" w:rsidRPr="00256F00" w:rsidRDefault="001E7628" w:rsidP="001E762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sz w:val="22"/>
          <w:szCs w:val="22"/>
        </w:rPr>
      </w:pPr>
      <w:r w:rsidRPr="00256F00">
        <w:rPr>
          <w:rFonts w:ascii="GHEA Grapalat" w:eastAsiaTheme="minorHAnsi" w:hAnsi="GHEA Grapalat" w:cstheme="minorBidi"/>
          <w:b/>
          <w:bCs/>
          <w:sz w:val="22"/>
          <w:szCs w:val="22"/>
        </w:rPr>
        <w:t>Ո Ր Ո Շ ՈՒ Մ</w:t>
      </w:r>
    </w:p>
    <w:p w:rsidR="001E7628" w:rsidRPr="00256F00" w:rsidRDefault="001E7628" w:rsidP="001E7628">
      <w:pPr>
        <w:pStyle w:val="NormalWeb"/>
        <w:spacing w:before="0" w:beforeAutospacing="0" w:after="0" w:afterAutospacing="0"/>
        <w:rPr>
          <w:rFonts w:ascii="GHEA Grapalat" w:eastAsiaTheme="minorHAnsi" w:hAnsi="GHEA Grapalat" w:cstheme="minorBidi"/>
          <w:sz w:val="22"/>
          <w:szCs w:val="22"/>
        </w:rPr>
      </w:pPr>
      <w:r w:rsidRPr="00256F00">
        <w:rPr>
          <w:rFonts w:ascii="GHEA Grapalat" w:eastAsiaTheme="minorHAnsi" w:hAnsi="GHEA Grapalat" w:cstheme="minorBidi"/>
          <w:sz w:val="22"/>
          <w:szCs w:val="22"/>
        </w:rPr>
        <w:t> </w:t>
      </w:r>
    </w:p>
    <w:p w:rsidR="001E7628" w:rsidRPr="007A44C3" w:rsidRDefault="001E7628" w:rsidP="001E762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b/>
          <w:sz w:val="22"/>
          <w:szCs w:val="22"/>
        </w:rPr>
      </w:pPr>
      <w:r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 2016 թվականի N     - Ն</w:t>
      </w:r>
    </w:p>
    <w:p w:rsidR="001E7628" w:rsidRPr="007A44C3" w:rsidRDefault="001E7628" w:rsidP="001E7628">
      <w:pPr>
        <w:pStyle w:val="NormalWeb"/>
        <w:spacing w:before="0" w:beforeAutospacing="0" w:after="0" w:afterAutospacing="0"/>
        <w:rPr>
          <w:rFonts w:ascii="GHEA Grapalat" w:eastAsiaTheme="minorHAnsi" w:hAnsi="GHEA Grapalat" w:cstheme="minorBidi"/>
          <w:b/>
          <w:sz w:val="22"/>
          <w:szCs w:val="22"/>
        </w:rPr>
      </w:pPr>
      <w:r w:rsidRPr="007A44C3">
        <w:rPr>
          <w:rFonts w:ascii="GHEA Grapalat" w:eastAsiaTheme="minorHAnsi" w:hAnsi="GHEA Grapalat" w:cstheme="minorBidi"/>
          <w:b/>
          <w:sz w:val="22"/>
          <w:szCs w:val="22"/>
        </w:rPr>
        <w:t> </w:t>
      </w:r>
    </w:p>
    <w:p w:rsidR="001E7628" w:rsidRPr="007A44C3" w:rsidRDefault="001E7628" w:rsidP="001E762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b/>
          <w:sz w:val="22"/>
          <w:szCs w:val="22"/>
        </w:rPr>
      </w:pPr>
      <w:r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ՀԱՅԱՍՏԱՆԻ ՀԱՆՐԱՊԵՏՈՒԹՅԱՆ ԿԱՌԱՎԱՐՈՒԹՅԱՆ 2011 ԹՎԱԿԱՆԻ ՀՈԿՏԵՄԲԵՐԻ 20-Ի  N 1510-Ն ՈՐՈՇՄԱՆ ՄԵՋ </w:t>
      </w:r>
      <w:r w:rsidR="00351F19"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ԼՐԱՑՈՒՄ ԵՎ </w:t>
      </w:r>
      <w:r w:rsidRPr="007A44C3">
        <w:rPr>
          <w:rFonts w:ascii="GHEA Grapalat" w:eastAsiaTheme="minorHAnsi" w:hAnsi="GHEA Grapalat" w:cstheme="minorBidi"/>
          <w:b/>
          <w:sz w:val="22"/>
          <w:szCs w:val="22"/>
        </w:rPr>
        <w:t>ՓՈՓՈԽՈՒԹՅՈՒՆ ԿԱՏԱՐԵԼՈՒ ՄԱՍԻՆ</w:t>
      </w:r>
    </w:p>
    <w:p w:rsidR="001E7628" w:rsidRPr="00297FA4" w:rsidRDefault="001E7628" w:rsidP="001E762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sz w:val="22"/>
          <w:szCs w:val="22"/>
        </w:rPr>
      </w:pPr>
    </w:p>
    <w:p w:rsidR="001E7628" w:rsidRPr="00351F19" w:rsidRDefault="001E7628" w:rsidP="001E7628">
      <w:pPr>
        <w:pStyle w:val="norm"/>
        <w:rPr>
          <w:rFonts w:ascii="GHEA Grapalat" w:eastAsiaTheme="minorHAnsi" w:hAnsi="GHEA Grapalat" w:cstheme="minorBidi"/>
          <w:szCs w:val="22"/>
          <w:lang w:eastAsia="en-US"/>
        </w:rPr>
      </w:pPr>
      <w:r w:rsidRPr="00351F19">
        <w:rPr>
          <w:rFonts w:ascii="GHEA Grapalat" w:eastAsiaTheme="minorHAnsi" w:hAnsi="GHEA Grapalat" w:cstheme="minorBidi"/>
          <w:szCs w:val="22"/>
          <w:lang w:eastAsia="en-US"/>
        </w:rPr>
        <w:t>Հայաստանի Հանրապետության կառավա</w:t>
      </w:r>
      <w:r w:rsidRPr="00351F19">
        <w:rPr>
          <w:rFonts w:ascii="GHEA Grapalat" w:eastAsiaTheme="minorHAnsi" w:hAnsi="GHEA Grapalat" w:cstheme="minorBidi"/>
          <w:szCs w:val="22"/>
          <w:lang w:eastAsia="en-US"/>
        </w:rPr>
        <w:softHyphen/>
        <w:t>րու</w:t>
      </w:r>
      <w:r w:rsidRPr="00351F19">
        <w:rPr>
          <w:rFonts w:ascii="GHEA Grapalat" w:eastAsiaTheme="minorHAnsi" w:hAnsi="GHEA Grapalat" w:cstheme="minorBidi"/>
          <w:szCs w:val="22"/>
          <w:lang w:eastAsia="en-US"/>
        </w:rPr>
        <w:softHyphen/>
        <w:t>թյունը  ո ր ո շ ու մ     է.</w:t>
      </w:r>
    </w:p>
    <w:p w:rsidR="00351F19" w:rsidRDefault="001E7628" w:rsidP="00351F19">
      <w:pPr>
        <w:ind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>1. Հայաստանի Հանրապետության կառավարության 2011 թվականի հոկտեմբերի 20-ի «Հայաս</w:t>
      </w:r>
      <w:r w:rsidRPr="00351F19">
        <w:rPr>
          <w:rFonts w:ascii="GHEA Grapalat" w:hAnsi="GHEA Grapalat"/>
        </w:rPr>
        <w:softHyphen/>
        <w:t>տա</w:t>
      </w:r>
      <w:r w:rsidRPr="00351F19">
        <w:rPr>
          <w:rFonts w:ascii="GHEA Grapalat" w:hAnsi="GHEA Grapalat"/>
        </w:rPr>
        <w:softHyphen/>
        <w:t>նի Հանրապետության պետական իշխանության մարմիններում աշխատան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քա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յին ծրագրերի կազմման, էլեկտրոնային փաստաթղթաշրջանառության համակարգ աշխա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տա</w:t>
      </w:r>
      <w:r w:rsidR="00A56B77" w:rsidRPr="00351F19">
        <w:rPr>
          <w:rFonts w:ascii="GHEA Grapalat" w:hAnsi="GHEA Grapalat"/>
        </w:rPr>
        <w:softHyphen/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նքային ծրագրերի մուտքագրման, հաստատման, այդ համակարգով կատարողա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կան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ների գնահատման և կատարողականների հիման վրա պարգևատրման կարգը հաս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տա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տե</w:t>
      </w:r>
      <w:r w:rsidR="00A56B77" w:rsidRPr="00351F19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լու մասին» N 1510-Ն որոշմա</w:t>
      </w:r>
      <w:r w:rsidR="003A177C" w:rsidRPr="00351F19">
        <w:rPr>
          <w:rFonts w:ascii="GHEA Grapalat" w:hAnsi="GHEA Grapalat"/>
        </w:rPr>
        <w:t>մբ հաստատված կարգ</w:t>
      </w:r>
      <w:r w:rsidR="00351F19">
        <w:rPr>
          <w:rFonts w:ascii="GHEA Grapalat" w:hAnsi="GHEA Grapalat"/>
        </w:rPr>
        <w:t>ում կատարել հետևյալ լրացումը և փոփոխությունը.</w:t>
      </w:r>
    </w:p>
    <w:p w:rsidR="00351F19" w:rsidRPr="007A44C3" w:rsidRDefault="00351F19" w:rsidP="00351F19">
      <w:pPr>
        <w:spacing w:after="0"/>
        <w:ind w:firstLine="375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>1)</w:t>
      </w:r>
      <w:r>
        <w:rPr>
          <w:rFonts w:ascii="GHEA Grapalat" w:hAnsi="GHEA Grapalat"/>
        </w:rPr>
        <w:t xml:space="preserve"> </w:t>
      </w:r>
      <w:r w:rsidRPr="00351F19">
        <w:rPr>
          <w:rFonts w:ascii="GHEA Grapalat" w:hAnsi="GHEA Grapalat"/>
        </w:rPr>
        <w:t>57.1-ին կետ</w:t>
      </w:r>
      <w:r>
        <w:rPr>
          <w:rFonts w:ascii="GHEA Grapalat" w:hAnsi="GHEA Grapalat"/>
        </w:rPr>
        <w:t xml:space="preserve">ը լրացնել նոր նախադասությամբ </w:t>
      </w:r>
      <w:r w:rsidRPr="00351F19">
        <w:rPr>
          <w:rFonts w:ascii="GHEA Grapalat" w:hAnsi="GHEA Grapalat"/>
        </w:rPr>
        <w:t xml:space="preserve">հետևյալ </w:t>
      </w:r>
      <w:r>
        <w:rPr>
          <w:rFonts w:ascii="GHEA Grapalat" w:hAnsi="GHEA Grapalat"/>
        </w:rPr>
        <w:t>բովանդակու</w:t>
      </w:r>
      <w:r>
        <w:rPr>
          <w:rFonts w:ascii="GHEA Grapalat" w:hAnsi="GHEA Grapalat"/>
        </w:rPr>
        <w:softHyphen/>
        <w:t>թյամբ</w:t>
      </w:r>
      <w:r w:rsidRPr="00351F19">
        <w:rPr>
          <w:rFonts w:ascii="GHEA Grapalat" w:hAnsi="GHEA Grapalat"/>
        </w:rPr>
        <w:t>.</w:t>
      </w:r>
      <w:r>
        <w:rPr>
          <w:rFonts w:ascii="GHEA Grapalat" w:hAnsi="GHEA Grapalat"/>
        </w:rPr>
        <w:t xml:space="preserve"> </w:t>
      </w:r>
      <w:r w:rsidRPr="00351F19">
        <w:rPr>
          <w:rFonts w:ascii="GHEA Grapalat" w:hAnsi="GHEA Grapalat"/>
        </w:rPr>
        <w:t>«Պար</w:t>
      </w:r>
      <w:r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գևա</w:t>
      </w:r>
      <w:r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տրման չափը որոշելու համար համապատասխան մարմինը հիմք է ընդունում աշ</w:t>
      </w:r>
      <w:r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խա</w:t>
      </w:r>
      <w:r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տողի այդ մարմնում գնահատված կատարողականի արդյունքը (կատարողականի գնա</w:t>
      </w:r>
      <w:r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>հա</w:t>
      </w:r>
      <w:r w:rsidR="00824C14">
        <w:rPr>
          <w:rFonts w:ascii="GHEA Grapalat" w:hAnsi="GHEA Grapalat"/>
        </w:rPr>
        <w:softHyphen/>
      </w:r>
      <w:r w:rsidRPr="00351F19">
        <w:rPr>
          <w:rFonts w:ascii="GHEA Grapalat" w:hAnsi="GHEA Grapalat"/>
        </w:rPr>
        <w:t xml:space="preserve">տականը) և տվյալ </w:t>
      </w:r>
      <w:r w:rsidRPr="007A44C3">
        <w:rPr>
          <w:rFonts w:ascii="GHEA Grapalat" w:hAnsi="GHEA Grapalat"/>
        </w:rPr>
        <w:t>ժամանակաշրջանի հիմնական աշխատավարձի չափը: Ընդ որում</w:t>
      </w:r>
      <w:r w:rsidR="007A44C3" w:rsidRPr="007A44C3">
        <w:rPr>
          <w:rFonts w:ascii="GHEA Grapalat" w:hAnsi="GHEA Grapalat"/>
        </w:rPr>
        <w:t>,</w:t>
      </w:r>
      <w:r w:rsidRPr="007A44C3">
        <w:rPr>
          <w:rFonts w:ascii="GHEA Grapalat" w:hAnsi="GHEA Grapalat"/>
        </w:rPr>
        <w:t xml:space="preserve"> նույն կար</w:t>
      </w:r>
      <w:r w:rsidR="00824C14" w:rsidRPr="007A44C3">
        <w:rPr>
          <w:rFonts w:ascii="GHEA Grapalat" w:hAnsi="GHEA Grapalat"/>
        </w:rPr>
        <w:softHyphen/>
      </w:r>
      <w:r w:rsidRPr="007A44C3">
        <w:rPr>
          <w:rFonts w:ascii="GHEA Grapalat" w:hAnsi="GHEA Grapalat"/>
        </w:rPr>
        <w:t>գով է հաշվարկվում նաև այն աշխատողների պարգևատրման չափը, որոնց պաշտոնի փոփոխությունը կատարվել է պետական իշխանության մարմնի աշխա</w:t>
      </w:r>
      <w:r w:rsidRPr="007A44C3">
        <w:rPr>
          <w:rFonts w:ascii="GHEA Grapalat" w:hAnsi="GHEA Grapalat"/>
        </w:rPr>
        <w:softHyphen/>
        <w:t>տա</w:t>
      </w:r>
      <w:r w:rsidRPr="007A44C3">
        <w:rPr>
          <w:rFonts w:ascii="GHEA Grapalat" w:hAnsi="GHEA Grapalat"/>
        </w:rPr>
        <w:softHyphen/>
        <w:t>կազ</w:t>
      </w:r>
      <w:r w:rsidRPr="007A44C3">
        <w:rPr>
          <w:rFonts w:ascii="GHEA Grapalat" w:hAnsi="GHEA Grapalat"/>
        </w:rPr>
        <w:softHyphen/>
        <w:t>մում:»</w:t>
      </w:r>
    </w:p>
    <w:p w:rsidR="0046767B" w:rsidRPr="00351F19" w:rsidRDefault="00351F19" w:rsidP="00351F19">
      <w:pPr>
        <w:spacing w:after="0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Pr="00351F19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="001E7628" w:rsidRPr="00351F19">
        <w:rPr>
          <w:rFonts w:ascii="GHEA Grapalat" w:hAnsi="GHEA Grapalat"/>
        </w:rPr>
        <w:t>58-րդ կետը շարադրել հետևյալ խմբա</w:t>
      </w:r>
      <w:r w:rsidR="003A177C" w:rsidRPr="00351F19">
        <w:rPr>
          <w:rFonts w:ascii="GHEA Grapalat" w:hAnsi="GHEA Grapalat"/>
        </w:rPr>
        <w:softHyphen/>
      </w:r>
      <w:r w:rsidR="001E7628" w:rsidRPr="00351F19">
        <w:rPr>
          <w:rFonts w:ascii="GHEA Grapalat" w:hAnsi="GHEA Grapalat"/>
        </w:rPr>
        <w:t>գրությամբ.</w:t>
      </w:r>
    </w:p>
    <w:p w:rsidR="001E7628" w:rsidRPr="00351F19" w:rsidRDefault="001E7628" w:rsidP="007A44C3">
      <w:pPr>
        <w:spacing w:after="0"/>
        <w:ind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 xml:space="preserve">«58.պարգևատրման չափը հաշվարկվում է </w:t>
      </w:r>
      <w:r w:rsidR="00AB1F91" w:rsidRPr="00351F19">
        <w:rPr>
          <w:rFonts w:ascii="GHEA Grapalat" w:hAnsi="GHEA Grapalat"/>
        </w:rPr>
        <w:t>հետևյալ կերպ</w:t>
      </w:r>
      <w:r w:rsidRPr="00351F19">
        <w:rPr>
          <w:rFonts w:ascii="GHEA Grapalat" w:hAnsi="GHEA Grapalat"/>
        </w:rPr>
        <w:t>.</w:t>
      </w:r>
    </w:p>
    <w:p w:rsidR="00AB1F91" w:rsidRPr="00351F19" w:rsidRDefault="00AB1F91" w:rsidP="007A44C3">
      <w:pPr>
        <w:spacing w:after="0"/>
        <w:ind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 xml:space="preserve">քայլ առաջին` հաշվարկվում է </w:t>
      </w:r>
      <w:r w:rsidR="005C5C96" w:rsidRPr="00351F19">
        <w:rPr>
          <w:rFonts w:ascii="GHEA Grapalat" w:hAnsi="GHEA Grapalat"/>
        </w:rPr>
        <w:t xml:space="preserve">պարգևատրման </w:t>
      </w:r>
      <w:r w:rsidRPr="00351F19">
        <w:rPr>
          <w:rFonts w:ascii="GHEA Grapalat" w:hAnsi="GHEA Grapalat"/>
        </w:rPr>
        <w:t>գործակիցը հետևյալ բանաձևով</w:t>
      </w:r>
    </w:p>
    <w:p w:rsidR="00AB1F91" w:rsidRPr="00351F19" w:rsidRDefault="00AB1F91" w:rsidP="007A44C3">
      <w:pPr>
        <w:spacing w:after="0" w:line="240" w:lineRule="auto"/>
        <w:rPr>
          <w:rFonts w:ascii="GHEA Grapalat" w:hAnsi="GHEA Grapalat"/>
        </w:rPr>
      </w:pPr>
      <w:r w:rsidRPr="00351F19">
        <w:rPr>
          <w:rFonts w:ascii="GHEA Grapalat" w:hAnsi="GHEA Grapalat"/>
        </w:rPr>
        <w:t xml:space="preserve">       </w:t>
      </w:r>
      <w:r w:rsidR="005C5C96" w:rsidRPr="00351F19">
        <w:rPr>
          <w:rFonts w:ascii="GHEA Grapalat" w:hAnsi="GHEA Grapalat"/>
        </w:rPr>
        <w:t xml:space="preserve">            </w:t>
      </w:r>
      <w:r w:rsidR="00261847" w:rsidRPr="00351F19">
        <w:rPr>
          <w:rFonts w:ascii="GHEA Grapalat" w:hAnsi="GHEA Grapalat"/>
        </w:rPr>
        <w:t xml:space="preserve">                                     </w:t>
      </w:r>
      <w:r w:rsidR="005C5C96" w:rsidRPr="00351F19">
        <w:rPr>
          <w:rFonts w:ascii="GHEA Grapalat" w:hAnsi="GHEA Grapalat"/>
        </w:rPr>
        <w:t xml:space="preserve"> </w:t>
      </w:r>
      <w:r w:rsidRPr="00351F19">
        <w:rPr>
          <w:rFonts w:ascii="GHEA Grapalat" w:hAnsi="GHEA Grapalat"/>
        </w:rPr>
        <w:t>ԿՊՖ</w:t>
      </w:r>
    </w:p>
    <w:p w:rsidR="00AB1F91" w:rsidRPr="00351F19" w:rsidRDefault="00AB1F91" w:rsidP="007A44C3">
      <w:pPr>
        <w:spacing w:after="0" w:line="240" w:lineRule="auto"/>
        <w:rPr>
          <w:rFonts w:ascii="GHEA Grapalat" w:hAnsi="GHEA Grapalat"/>
        </w:rPr>
      </w:pPr>
      <w:r w:rsidRPr="00351F19">
        <w:rPr>
          <w:rFonts w:ascii="GHEA Grapalat" w:hAnsi="GHEA Grapalat"/>
        </w:rPr>
        <w:t>Գ     =         ---------------</w:t>
      </w:r>
      <w:r w:rsidR="005C5C96" w:rsidRPr="00351F19">
        <w:rPr>
          <w:rFonts w:ascii="GHEA Grapalat" w:hAnsi="GHEA Grapalat"/>
        </w:rPr>
        <w:t>---------</w:t>
      </w:r>
      <w:r w:rsidRPr="00351F19">
        <w:rPr>
          <w:rFonts w:ascii="GHEA Grapalat" w:hAnsi="GHEA Grapalat"/>
        </w:rPr>
        <w:t>--------------------------------------</w:t>
      </w:r>
      <w:r w:rsidR="005C5C96" w:rsidRPr="00351F19">
        <w:rPr>
          <w:rFonts w:ascii="GHEA Grapalat" w:hAnsi="GHEA Grapalat"/>
        </w:rPr>
        <w:t>---------------</w:t>
      </w:r>
      <w:r w:rsidRPr="00351F19">
        <w:rPr>
          <w:rFonts w:ascii="GHEA Grapalat" w:hAnsi="GHEA Grapalat"/>
        </w:rPr>
        <w:t xml:space="preserve">---- </w:t>
      </w:r>
    </w:p>
    <w:p w:rsidR="00AB1F91" w:rsidRPr="00351F19" w:rsidRDefault="00AB1F91" w:rsidP="007A44C3">
      <w:pPr>
        <w:spacing w:after="0" w:line="240" w:lineRule="auto"/>
        <w:rPr>
          <w:rFonts w:ascii="GHEA Grapalat" w:hAnsi="GHEA Grapalat"/>
        </w:rPr>
      </w:pPr>
      <w:r w:rsidRPr="00351F19">
        <w:rPr>
          <w:rFonts w:ascii="GHEA Grapalat" w:hAnsi="GHEA Grapalat"/>
        </w:rPr>
        <w:t xml:space="preserve">                </w:t>
      </w:r>
      <w:r w:rsidR="00C72695" w:rsidRPr="00351F19">
        <w:rPr>
          <w:rFonts w:ascii="GHEA Grapalat" w:hAnsi="GHEA Grapalat"/>
        </w:rPr>
        <w:t xml:space="preserve"> (</w:t>
      </w:r>
      <w:r w:rsidRPr="00351F19">
        <w:rPr>
          <w:rFonts w:ascii="GHEA Grapalat" w:hAnsi="GHEA Grapalat"/>
        </w:rPr>
        <w:t xml:space="preserve"> (Ա</w:t>
      </w:r>
      <w:r w:rsidRPr="00781CEE">
        <w:rPr>
          <w:rFonts w:ascii="GHEA Grapalat" w:hAnsi="GHEA Grapalat"/>
          <w:vertAlign w:val="subscript"/>
        </w:rPr>
        <w:t>1</w:t>
      </w:r>
      <w:r w:rsidRPr="00351F19">
        <w:rPr>
          <w:rFonts w:ascii="GHEA Grapalat" w:hAnsi="GHEA Grapalat"/>
        </w:rPr>
        <w:t xml:space="preserve"> * ԿԿԳ%)</w:t>
      </w:r>
      <w:r w:rsidR="005C5C96" w:rsidRPr="00351F19">
        <w:rPr>
          <w:rFonts w:ascii="GHEA Grapalat" w:hAnsi="GHEA Grapalat"/>
        </w:rPr>
        <w:t xml:space="preserve"> </w:t>
      </w:r>
      <w:r w:rsidRPr="00351F19">
        <w:rPr>
          <w:rFonts w:ascii="GHEA Grapalat" w:hAnsi="GHEA Grapalat"/>
        </w:rPr>
        <w:t>+ (Ա</w:t>
      </w:r>
      <w:r w:rsidRPr="00781CEE">
        <w:rPr>
          <w:rFonts w:ascii="GHEA Grapalat" w:hAnsi="GHEA Grapalat"/>
          <w:vertAlign w:val="subscript"/>
        </w:rPr>
        <w:t>2</w:t>
      </w:r>
      <w:r w:rsidRPr="00351F19">
        <w:rPr>
          <w:rFonts w:ascii="GHEA Grapalat" w:hAnsi="GHEA Grapalat"/>
        </w:rPr>
        <w:t xml:space="preserve"> * ԿԿԳ%)</w:t>
      </w:r>
      <w:r w:rsidR="005C5C96" w:rsidRPr="00351F19">
        <w:rPr>
          <w:rFonts w:ascii="GHEA Grapalat" w:hAnsi="GHEA Grapalat"/>
        </w:rPr>
        <w:t xml:space="preserve"> </w:t>
      </w:r>
      <w:r w:rsidRPr="00351F19">
        <w:rPr>
          <w:rFonts w:ascii="GHEA Grapalat" w:hAnsi="GHEA Grapalat"/>
        </w:rPr>
        <w:t>+</w:t>
      </w:r>
      <w:r w:rsidR="005C5C96" w:rsidRPr="00351F19">
        <w:rPr>
          <w:rFonts w:ascii="GHEA Grapalat" w:hAnsi="GHEA Grapalat"/>
        </w:rPr>
        <w:t xml:space="preserve"> (Ա</w:t>
      </w:r>
      <w:r w:rsidR="005C5C96" w:rsidRPr="00781CEE">
        <w:rPr>
          <w:rFonts w:ascii="GHEA Grapalat" w:hAnsi="GHEA Grapalat"/>
          <w:vertAlign w:val="subscript"/>
        </w:rPr>
        <w:t>3</w:t>
      </w:r>
      <w:r w:rsidR="005C5C96" w:rsidRPr="00351F19">
        <w:rPr>
          <w:rFonts w:ascii="GHEA Grapalat" w:hAnsi="GHEA Grapalat"/>
        </w:rPr>
        <w:t xml:space="preserve"> * ԿԿԳ%)</w:t>
      </w:r>
      <w:r w:rsidRPr="00351F19">
        <w:rPr>
          <w:rFonts w:ascii="GHEA Grapalat" w:hAnsi="GHEA Grapalat"/>
        </w:rPr>
        <w:t>…..+ (Աn * ԿԿԳ%)</w:t>
      </w:r>
      <w:r w:rsidR="00C72695" w:rsidRPr="00351F19">
        <w:rPr>
          <w:rFonts w:ascii="GHEA Grapalat" w:hAnsi="GHEA Grapalat"/>
        </w:rPr>
        <w:t xml:space="preserve"> )</w:t>
      </w:r>
    </w:p>
    <w:p w:rsidR="00261847" w:rsidRPr="00351F19" w:rsidRDefault="00261847" w:rsidP="007A44C3">
      <w:pPr>
        <w:spacing w:after="0" w:line="240" w:lineRule="auto"/>
        <w:rPr>
          <w:rFonts w:ascii="GHEA Grapalat" w:hAnsi="GHEA Grapalat"/>
        </w:rPr>
      </w:pPr>
    </w:p>
    <w:p w:rsidR="005C5C96" w:rsidRPr="00351F19" w:rsidRDefault="00AB1F91" w:rsidP="007A44C3">
      <w:pPr>
        <w:spacing w:after="0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 xml:space="preserve">      </w:t>
      </w:r>
      <w:r w:rsidR="00A56B77" w:rsidRPr="00351F19">
        <w:rPr>
          <w:rFonts w:ascii="GHEA Grapalat" w:hAnsi="GHEA Grapalat"/>
        </w:rPr>
        <w:t xml:space="preserve">  </w:t>
      </w:r>
      <w:r w:rsidR="008630C4" w:rsidRPr="00351F19">
        <w:rPr>
          <w:rFonts w:ascii="GHEA Grapalat" w:hAnsi="GHEA Grapalat"/>
        </w:rPr>
        <w:t xml:space="preserve"> որտեղ` </w:t>
      </w:r>
      <w:r w:rsidR="0014258A" w:rsidRPr="00351F19">
        <w:rPr>
          <w:rFonts w:ascii="GHEA Grapalat" w:hAnsi="GHEA Grapalat"/>
        </w:rPr>
        <w:t xml:space="preserve">ԿՊՖ-ն` ՀՀ պետական բյուջեով տվյալ մարմնի համար նախատեսված </w:t>
      </w:r>
      <w:r w:rsidR="00A56B77" w:rsidRPr="00351F19">
        <w:rPr>
          <w:rFonts w:ascii="GHEA Grapalat" w:hAnsi="GHEA Grapalat"/>
        </w:rPr>
        <w:t>կի</w:t>
      </w:r>
      <w:r w:rsidR="00A56B77" w:rsidRPr="00351F19">
        <w:rPr>
          <w:rFonts w:ascii="GHEA Grapalat" w:hAnsi="GHEA Grapalat"/>
        </w:rPr>
        <w:softHyphen/>
        <w:t>սա</w:t>
      </w:r>
      <w:r w:rsidR="00A56B77" w:rsidRPr="00351F19">
        <w:rPr>
          <w:rFonts w:ascii="GHEA Grapalat" w:hAnsi="GHEA Grapalat"/>
        </w:rPr>
        <w:softHyphen/>
      </w:r>
      <w:r w:rsidR="00A56B77" w:rsidRPr="00351F19">
        <w:rPr>
          <w:rFonts w:ascii="GHEA Grapalat" w:hAnsi="GHEA Grapalat"/>
        </w:rPr>
        <w:softHyphen/>
        <w:t xml:space="preserve">մյակային </w:t>
      </w:r>
      <w:r w:rsidR="0014258A" w:rsidRPr="00351F19">
        <w:rPr>
          <w:rFonts w:ascii="GHEA Grapalat" w:hAnsi="GHEA Grapalat"/>
        </w:rPr>
        <w:t xml:space="preserve">պարգևատրման ֆոնդն է, </w:t>
      </w:r>
      <w:r w:rsidR="008630C4" w:rsidRPr="00351F19">
        <w:rPr>
          <w:rFonts w:ascii="GHEA Grapalat" w:hAnsi="GHEA Grapalat"/>
        </w:rPr>
        <w:t>Ա</w:t>
      </w:r>
      <w:r w:rsidR="0014258A" w:rsidRPr="00781CEE">
        <w:rPr>
          <w:rFonts w:ascii="GHEA Grapalat" w:hAnsi="GHEA Grapalat"/>
          <w:vertAlign w:val="subscript"/>
        </w:rPr>
        <w:t>1</w:t>
      </w:r>
      <w:r w:rsidR="0014258A" w:rsidRPr="00351F19">
        <w:rPr>
          <w:rFonts w:ascii="GHEA Grapalat" w:hAnsi="GHEA Grapalat"/>
        </w:rPr>
        <w:t>, Ա</w:t>
      </w:r>
      <w:r w:rsidR="0014258A" w:rsidRPr="00781CEE">
        <w:rPr>
          <w:rFonts w:ascii="GHEA Grapalat" w:hAnsi="GHEA Grapalat"/>
          <w:vertAlign w:val="subscript"/>
        </w:rPr>
        <w:t>2</w:t>
      </w:r>
      <w:r w:rsidR="0014258A" w:rsidRPr="00351F19">
        <w:rPr>
          <w:rFonts w:ascii="GHEA Grapalat" w:hAnsi="GHEA Grapalat"/>
        </w:rPr>
        <w:t xml:space="preserve"> ... Աn</w:t>
      </w:r>
      <w:r w:rsidR="008630C4" w:rsidRPr="00351F19">
        <w:rPr>
          <w:rFonts w:ascii="GHEA Grapalat" w:hAnsi="GHEA Grapalat"/>
        </w:rPr>
        <w:t xml:space="preserve"> –ն տվյալ աշխատողի պաշտոնային դրույքաչափն է,</w:t>
      </w:r>
      <w:r w:rsidR="0014258A" w:rsidRPr="00351F19">
        <w:rPr>
          <w:rFonts w:ascii="GHEA Grapalat" w:hAnsi="GHEA Grapalat"/>
        </w:rPr>
        <w:t xml:space="preserve"> </w:t>
      </w:r>
      <w:r w:rsidR="008630C4" w:rsidRPr="00351F19">
        <w:rPr>
          <w:rFonts w:ascii="GHEA Grapalat" w:hAnsi="GHEA Grapalat"/>
        </w:rPr>
        <w:t>ԿԿԳ-ն`  տվյալ աշխատողի կատարողականի կիսամյակի գնահատական</w:t>
      </w:r>
      <w:r w:rsidR="00A56B77" w:rsidRPr="00351F19">
        <w:rPr>
          <w:rFonts w:ascii="GHEA Grapalat" w:hAnsi="GHEA Grapalat"/>
        </w:rPr>
        <w:t>ն է</w:t>
      </w:r>
      <w:r w:rsidR="0014258A" w:rsidRPr="00351F19">
        <w:rPr>
          <w:rFonts w:ascii="GHEA Grapalat" w:hAnsi="GHEA Grapalat"/>
        </w:rPr>
        <w:t>, Գ-ն` պարգևատրման գործակից</w:t>
      </w:r>
      <w:r w:rsidR="005C5C96" w:rsidRPr="00351F19">
        <w:rPr>
          <w:rFonts w:ascii="GHEA Grapalat" w:hAnsi="GHEA Grapalat"/>
        </w:rPr>
        <w:t>ն է:</w:t>
      </w:r>
    </w:p>
    <w:p w:rsidR="008630C4" w:rsidRPr="00351F19" w:rsidRDefault="005C5C96" w:rsidP="007A44C3">
      <w:pPr>
        <w:spacing w:after="0" w:line="240" w:lineRule="auto"/>
        <w:rPr>
          <w:rFonts w:ascii="GHEA Grapalat" w:hAnsi="GHEA Grapalat"/>
        </w:rPr>
      </w:pPr>
      <w:r w:rsidRPr="00351F19">
        <w:rPr>
          <w:rFonts w:ascii="GHEA Grapalat" w:hAnsi="GHEA Grapalat"/>
        </w:rPr>
        <w:tab/>
        <w:t>քայլ երկրորդ` պարգևատրման գործակիցն արտահայտվում է տոկոսով /Գ*100= Գ%/</w:t>
      </w:r>
      <w:r w:rsidR="00A56B77" w:rsidRPr="00351F19">
        <w:rPr>
          <w:rFonts w:ascii="GHEA Grapalat" w:hAnsi="GHEA Grapalat"/>
        </w:rPr>
        <w:t xml:space="preserve"> </w:t>
      </w:r>
    </w:p>
    <w:p w:rsidR="008630C4" w:rsidRPr="00351F19" w:rsidRDefault="005C5C96" w:rsidP="007A44C3">
      <w:pPr>
        <w:spacing w:after="0" w:line="240" w:lineRule="auto"/>
        <w:ind w:right="-810"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>քայլ երրորդ` հաշվարկվում է յուրաքանչյուր աշխատողի պարգևատրման չափը հետևյալ բանաձևով.</w:t>
      </w:r>
    </w:p>
    <w:p w:rsidR="005C5C96" w:rsidRPr="00351F19" w:rsidRDefault="005C5C96" w:rsidP="007A44C3">
      <w:pPr>
        <w:spacing w:after="0" w:line="240" w:lineRule="auto"/>
        <w:ind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>ՊՉ =  (Ա</w:t>
      </w:r>
      <w:r w:rsidRPr="00781CEE">
        <w:rPr>
          <w:rFonts w:ascii="GHEA Grapalat" w:hAnsi="GHEA Grapalat"/>
          <w:vertAlign w:val="subscript"/>
        </w:rPr>
        <w:t>1</w:t>
      </w:r>
      <w:r w:rsidRPr="00351F19">
        <w:rPr>
          <w:rFonts w:ascii="GHEA Grapalat" w:hAnsi="GHEA Grapalat"/>
        </w:rPr>
        <w:t xml:space="preserve"> * ԿԿԳ%)* Գ%</w:t>
      </w:r>
      <w:r w:rsidR="007A44C3" w:rsidRPr="00351F19">
        <w:rPr>
          <w:rFonts w:ascii="GHEA Grapalat" w:hAnsi="GHEA Grapalat"/>
        </w:rPr>
        <w:t>»</w:t>
      </w:r>
    </w:p>
    <w:p w:rsidR="00B1629D" w:rsidRPr="00351F19" w:rsidRDefault="00A56B77" w:rsidP="007A44C3">
      <w:pPr>
        <w:spacing w:after="0" w:line="240" w:lineRule="auto"/>
        <w:ind w:firstLine="709"/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>2. Սույն որոշումն ուժի մեջ է մտնում պաշտոնական հրապարակմանը հաջորդող օրվանից:</w:t>
      </w:r>
    </w:p>
    <w:p w:rsidR="00C025D3" w:rsidRDefault="00C025D3" w:rsidP="003B7A51">
      <w:pPr>
        <w:ind w:firstLine="709"/>
        <w:jc w:val="center"/>
        <w:rPr>
          <w:rFonts w:ascii="GHEA Grapalat" w:hAnsi="GHEA Grapalat"/>
        </w:rPr>
      </w:pPr>
    </w:p>
    <w:p w:rsidR="007A44C3" w:rsidRPr="007A44C3" w:rsidRDefault="007A44C3" w:rsidP="003B7A51">
      <w:pPr>
        <w:ind w:firstLine="709"/>
        <w:jc w:val="center"/>
        <w:rPr>
          <w:rFonts w:ascii="GHEA Grapalat" w:hAnsi="GHEA Grapalat"/>
          <w:b/>
        </w:rPr>
      </w:pPr>
      <w:r w:rsidRPr="007A44C3">
        <w:rPr>
          <w:rFonts w:ascii="GHEA Grapalat" w:hAnsi="GHEA Grapalat"/>
          <w:b/>
        </w:rPr>
        <w:t>ՀՀ աշխատանքի և սոցիալական հարցերի նախարար Արտեմ Ասատրյան</w:t>
      </w:r>
    </w:p>
    <w:p w:rsidR="007A44C3" w:rsidRDefault="007A44C3" w:rsidP="003B7A51">
      <w:pPr>
        <w:ind w:firstLine="709"/>
        <w:jc w:val="center"/>
        <w:rPr>
          <w:rFonts w:ascii="GHEA Grapalat" w:hAnsi="GHEA Grapalat"/>
        </w:rPr>
      </w:pPr>
    </w:p>
    <w:p w:rsidR="003B7A51" w:rsidRPr="007A44C3" w:rsidRDefault="003B7A51" w:rsidP="003B7A51">
      <w:pPr>
        <w:ind w:firstLine="709"/>
        <w:jc w:val="center"/>
        <w:rPr>
          <w:rFonts w:ascii="GHEA Grapalat" w:hAnsi="GHEA Grapalat"/>
          <w:b/>
        </w:rPr>
      </w:pPr>
      <w:r w:rsidRPr="007A44C3">
        <w:rPr>
          <w:rFonts w:ascii="GHEA Grapalat" w:hAnsi="GHEA Grapalat"/>
          <w:b/>
        </w:rPr>
        <w:lastRenderedPageBreak/>
        <w:t>ՀԻՄՆԱՎՈՐՈՒՄ</w:t>
      </w:r>
    </w:p>
    <w:tbl>
      <w:tblPr>
        <w:tblW w:w="108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0323"/>
      </w:tblGrid>
      <w:tr w:rsidR="003B7A51" w:rsidRPr="007A44C3" w:rsidTr="004A1124">
        <w:trPr>
          <w:trHeight w:val="179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3B7A5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</w:pPr>
            <w:r w:rsidRPr="007A44C3"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  <w:br w:type="page"/>
              <w:t xml:space="preserve"> ՀԱՅԱՍՏԱՆԻ ՀԱՆՐԱՊԵՏՈՒԹՅԱՆ ԿԱՌԱՎԱՐՈՒԹՅԱՆ 2011 ԹՎԱԿԱՆԻ ՀՈԿՏԵՄԲԵՐԻ 20-Ի  </w:t>
            </w:r>
          </w:p>
          <w:p w:rsidR="003B7A51" w:rsidRPr="007A44C3" w:rsidRDefault="003B7A51" w:rsidP="003B7A5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</w:pPr>
            <w:r w:rsidRPr="007A44C3"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  <w:t xml:space="preserve">N 1510-Ն ՈՐՈՇՄԱՆ ՄԵՋ </w:t>
            </w:r>
            <w:r w:rsidR="003262E8" w:rsidRPr="007A44C3"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  <w:t xml:space="preserve">ԼՐԱՑՈՒՄ ԵՎ </w:t>
            </w:r>
            <w:r w:rsidRPr="007A44C3">
              <w:rPr>
                <w:rFonts w:ascii="GHEA Grapalat" w:eastAsiaTheme="minorHAnsi" w:hAnsi="GHEA Grapalat" w:cstheme="minorBidi"/>
                <w:b/>
                <w:sz w:val="22"/>
                <w:szCs w:val="22"/>
              </w:rPr>
              <w:t>ՓՈՓՈԽՈՒԹՅՈՒՆ ԿԱՏԱՐԵԼՈՒ ՄԱՍԻՆ</w:t>
            </w:r>
          </w:p>
        </w:tc>
      </w:tr>
      <w:tr w:rsidR="003B7A51" w:rsidRPr="00351F19" w:rsidTr="004A1124">
        <w:trPr>
          <w:trHeight w:val="36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 w:firstLine="630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tabs>
                <w:tab w:val="left" w:pos="10620"/>
              </w:tabs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351F19" w:rsidRDefault="003B7A51" w:rsidP="002A3B5D">
            <w:pPr>
              <w:spacing w:after="0" w:line="240" w:lineRule="auto"/>
              <w:ind w:left="29" w:firstLine="576"/>
              <w:jc w:val="both"/>
              <w:rPr>
                <w:rFonts w:ascii="GHEA Grapalat" w:hAnsi="GHEA Grapalat"/>
              </w:rPr>
            </w:pPr>
            <w:r w:rsidRPr="00351F19">
              <w:rPr>
                <w:rFonts w:ascii="GHEA Grapalat" w:hAnsi="GHEA Grapalat"/>
              </w:rPr>
              <w:t xml:space="preserve">Սույն նախագծով առաջարկվում է կանոնակարգել ՀՀ պետական կառավարման մարմինների աշխատողներին կատարողականների հիման վրա պարգևատրման գործընթացը, մասնավորապես սահմանելով </w:t>
            </w:r>
            <w:r w:rsidR="00F979EC" w:rsidRPr="00351F19">
              <w:rPr>
                <w:rFonts w:ascii="GHEA Grapalat" w:hAnsi="GHEA Grapalat"/>
              </w:rPr>
              <w:t xml:space="preserve">աշխատողների կատարողականների կիսամյակային գնահատականների հիման վրա </w:t>
            </w:r>
            <w:r w:rsidRPr="00351F19">
              <w:rPr>
                <w:rFonts w:ascii="GHEA Grapalat" w:hAnsi="GHEA Grapalat"/>
              </w:rPr>
              <w:t xml:space="preserve">պարգևավճարի </w:t>
            </w:r>
            <w:r w:rsidR="00F979EC" w:rsidRPr="00351F19">
              <w:rPr>
                <w:rFonts w:ascii="GHEA Grapalat" w:hAnsi="GHEA Grapalat"/>
              </w:rPr>
              <w:t xml:space="preserve">հաշվարկի </w:t>
            </w:r>
            <w:r w:rsidRPr="00351F19">
              <w:rPr>
                <w:rFonts w:ascii="GHEA Grapalat" w:hAnsi="GHEA Grapalat"/>
              </w:rPr>
              <w:t>հստակ մեխանիզմ</w:t>
            </w:r>
            <w:r w:rsidR="00F979EC" w:rsidRPr="00351F19">
              <w:rPr>
                <w:rFonts w:ascii="GHEA Grapalat" w:hAnsi="GHEA Grapalat"/>
              </w:rPr>
              <w:t>:</w:t>
            </w:r>
            <w:r w:rsidR="00824C14">
              <w:rPr>
                <w:rFonts w:ascii="GHEA Grapalat" w:hAnsi="GHEA Grapalat"/>
              </w:rPr>
              <w:t xml:space="preserve"> Հստակեցվում է նաև մ</w:t>
            </w:r>
            <w:r w:rsidR="00824C14" w:rsidRPr="00824C14">
              <w:rPr>
                <w:rFonts w:ascii="GHEA Grapalat" w:hAnsi="GHEA Grapalat"/>
              </w:rPr>
              <w:t xml:space="preserve">եկ կիսամյակի ընթացքում </w:t>
            </w:r>
            <w:r w:rsidR="002A3B5D">
              <w:rPr>
                <w:rFonts w:ascii="GHEA Grapalat" w:hAnsi="GHEA Grapalat"/>
              </w:rPr>
              <w:t xml:space="preserve"> </w:t>
            </w:r>
            <w:r w:rsidR="002A3B5D" w:rsidRPr="002A3B5D">
              <w:rPr>
                <w:rFonts w:ascii="GHEA Grapalat" w:hAnsi="GHEA Grapalat"/>
              </w:rPr>
              <w:t>պետական իշխանության մարմնի աշխա</w:t>
            </w:r>
            <w:r w:rsidR="002A3B5D" w:rsidRPr="002A3B5D">
              <w:rPr>
                <w:rFonts w:ascii="GHEA Grapalat" w:hAnsi="GHEA Grapalat"/>
              </w:rPr>
              <w:softHyphen/>
              <w:t>տա</w:t>
            </w:r>
            <w:r w:rsidR="002A3B5D" w:rsidRPr="002A3B5D">
              <w:rPr>
                <w:rFonts w:ascii="GHEA Grapalat" w:hAnsi="GHEA Grapalat"/>
              </w:rPr>
              <w:softHyphen/>
              <w:t>կազ</w:t>
            </w:r>
            <w:r w:rsidR="002A3B5D" w:rsidRPr="002A3B5D">
              <w:rPr>
                <w:rFonts w:ascii="GHEA Grapalat" w:hAnsi="GHEA Grapalat"/>
              </w:rPr>
              <w:softHyphen/>
              <w:t>մում և</w:t>
            </w:r>
            <w:r w:rsidR="002A3B5D">
              <w:rPr>
                <w:rFonts w:ascii="GHEA Grapalat" w:hAnsi="GHEA Grapalat"/>
              </w:rPr>
              <w:t xml:space="preserve"> </w:t>
            </w:r>
            <w:r w:rsidR="00824C14" w:rsidRPr="00824C14">
              <w:rPr>
                <w:rFonts w:ascii="GHEA Grapalat" w:hAnsi="GHEA Grapalat"/>
              </w:rPr>
              <w:t xml:space="preserve">պետական իշխանության մի մարմնից պետական իշխանության մեկ այլ մարմին առանց աշխատանքի ընդհատման տեղափոխվելու </w:t>
            </w:r>
            <w:r w:rsidR="002A3B5D">
              <w:rPr>
                <w:rFonts w:ascii="GHEA Grapalat" w:hAnsi="GHEA Grapalat"/>
              </w:rPr>
              <w:t xml:space="preserve"> դեպքերում այն </w:t>
            </w:r>
            <w:r w:rsidR="002A3B5D" w:rsidRPr="002A3B5D">
              <w:rPr>
                <w:rFonts w:ascii="GHEA Grapalat" w:hAnsi="GHEA Grapalat"/>
              </w:rPr>
              <w:t>աշխատողների պարգևատրման չափը, ովքեր ձեռք են բերել պարգևատրման իրավունք (</w:t>
            </w:r>
            <w:r w:rsidR="002A3B5D" w:rsidRPr="00824C14">
              <w:rPr>
                <w:rFonts w:ascii="GHEA Grapalat" w:hAnsi="GHEA Grapalat"/>
              </w:rPr>
              <w:t>կատարողականի կիսամյակային գնահատականը 75 տոկոս և ավելի է</w:t>
            </w:r>
            <w:r w:rsidR="002A3B5D" w:rsidRPr="002A3B5D">
              <w:rPr>
                <w:rFonts w:ascii="GHEA Grapalat" w:hAnsi="GHEA Grapalat"/>
              </w:rPr>
              <w:t xml:space="preserve">): </w:t>
            </w:r>
          </w:p>
        </w:tc>
      </w:tr>
      <w:tr w:rsidR="003B7A51" w:rsidRPr="00351F19" w:rsidTr="004A1124">
        <w:trPr>
          <w:trHeight w:val="50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 xml:space="preserve"> Ընթացիկ իրավիճակը և խնդիրները</w:t>
            </w:r>
          </w:p>
        </w:tc>
      </w:tr>
      <w:tr w:rsidR="003B7A51" w:rsidRPr="00351F19" w:rsidTr="004A1124">
        <w:trPr>
          <w:trHeight w:val="4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ind w:firstLine="45"/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F979EC" w:rsidP="003262E8">
            <w:pPr>
              <w:tabs>
                <w:tab w:val="left" w:pos="90"/>
              </w:tabs>
              <w:spacing w:after="0" w:line="240" w:lineRule="auto"/>
              <w:ind w:left="86" w:firstLine="547"/>
              <w:jc w:val="both"/>
              <w:rPr>
                <w:rFonts w:ascii="GHEA Grapalat" w:hAnsi="GHEA Grapalat"/>
              </w:rPr>
            </w:pPr>
            <w:r w:rsidRPr="00351F19">
              <w:rPr>
                <w:rFonts w:ascii="GHEA Grapalat" w:hAnsi="GHEA Grapalat"/>
              </w:rPr>
              <w:t>Գործող կարգի հնարավորություն չի տալիս հստակ հաշվարկելու աշխատողների կատարողականների կիսամյակային գնահատականների հիման վրա պարգևավճարի չափը</w:t>
            </w:r>
            <w:r w:rsidR="003262E8">
              <w:rPr>
                <w:rFonts w:ascii="GHEA Grapalat" w:hAnsi="GHEA Grapalat"/>
              </w:rPr>
              <w:t>: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34" w:firstLine="360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 xml:space="preserve">Տվյալ բնագավառում իրականացվող քաղաքականությունը  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ind w:firstLine="45"/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351F19" w:rsidRDefault="003B7A51" w:rsidP="004A1124">
            <w:pPr>
              <w:ind w:left="34" w:firstLine="360"/>
              <w:rPr>
                <w:rFonts w:ascii="GHEA Grapalat" w:hAnsi="GHEA Grapalat"/>
              </w:rPr>
            </w:pP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34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 xml:space="preserve"> Կարգավորման նպատակը և բնույթը </w:t>
            </w:r>
          </w:p>
        </w:tc>
      </w:tr>
      <w:tr w:rsidR="003B7A51" w:rsidRPr="00351F19" w:rsidTr="004A1124">
        <w:trPr>
          <w:trHeight w:val="41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ind w:firstLine="45"/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351F19" w:rsidRDefault="003B7A51" w:rsidP="003262E8">
            <w:pPr>
              <w:spacing w:after="0" w:line="240" w:lineRule="auto"/>
              <w:ind w:left="29" w:firstLine="360"/>
              <w:jc w:val="both"/>
              <w:rPr>
                <w:rFonts w:ascii="GHEA Grapalat" w:hAnsi="GHEA Grapalat"/>
              </w:rPr>
            </w:pPr>
            <w:r w:rsidRPr="00351F19">
              <w:rPr>
                <w:rFonts w:ascii="GHEA Grapalat" w:hAnsi="GHEA Grapalat"/>
              </w:rPr>
              <w:t xml:space="preserve">Սույն որոշմամբ </w:t>
            </w:r>
            <w:r w:rsidR="00F979EC" w:rsidRPr="00351F19">
              <w:rPr>
                <w:rFonts w:ascii="GHEA Grapalat" w:hAnsi="GHEA Grapalat"/>
              </w:rPr>
              <w:t>կապահովվի  ՀՀ պետական կառավարման մարմինների աշխատողներին կատարողականների հիման վրա պարգևատրման գործընթացը, մասնավորապես աշխատողների կատարողականների կիսամյակային գնահատականների հիման վրա պարգևավճարի հաշվարկը</w:t>
            </w:r>
            <w:r w:rsidR="003262E8">
              <w:rPr>
                <w:rFonts w:ascii="GHEA Grapalat" w:hAnsi="GHEA Grapalat"/>
              </w:rPr>
              <w:t>,</w:t>
            </w:r>
            <w:r w:rsidR="003262E8" w:rsidRPr="003262E8">
              <w:rPr>
                <w:rFonts w:ascii="GHEA Grapalat" w:hAnsi="GHEA Grapalat"/>
              </w:rPr>
              <w:t xml:space="preserve"> ինչպես նաև </w:t>
            </w:r>
            <w:r w:rsidR="003262E8">
              <w:rPr>
                <w:rFonts w:ascii="GHEA Grapalat" w:hAnsi="GHEA Grapalat"/>
              </w:rPr>
              <w:t>մ</w:t>
            </w:r>
            <w:r w:rsidR="003262E8" w:rsidRPr="00824C14">
              <w:rPr>
                <w:rFonts w:ascii="GHEA Grapalat" w:hAnsi="GHEA Grapalat"/>
              </w:rPr>
              <w:t xml:space="preserve">եկ կիսամյակի ընթացքում </w:t>
            </w:r>
            <w:r w:rsidR="003262E8">
              <w:rPr>
                <w:rFonts w:ascii="GHEA Grapalat" w:hAnsi="GHEA Grapalat"/>
              </w:rPr>
              <w:t xml:space="preserve"> </w:t>
            </w:r>
            <w:r w:rsidR="003262E8" w:rsidRPr="002A3B5D">
              <w:rPr>
                <w:rFonts w:ascii="GHEA Grapalat" w:hAnsi="GHEA Grapalat"/>
              </w:rPr>
              <w:t>պետական իշխանության մարմնի աշխա</w:t>
            </w:r>
            <w:r w:rsidR="003262E8" w:rsidRPr="002A3B5D">
              <w:rPr>
                <w:rFonts w:ascii="GHEA Grapalat" w:hAnsi="GHEA Grapalat"/>
              </w:rPr>
              <w:softHyphen/>
              <w:t>տա</w:t>
            </w:r>
            <w:r w:rsidR="003262E8" w:rsidRPr="002A3B5D">
              <w:rPr>
                <w:rFonts w:ascii="GHEA Grapalat" w:hAnsi="GHEA Grapalat"/>
              </w:rPr>
              <w:softHyphen/>
              <w:t>կազ</w:t>
            </w:r>
            <w:r w:rsidR="003262E8" w:rsidRPr="002A3B5D">
              <w:rPr>
                <w:rFonts w:ascii="GHEA Grapalat" w:hAnsi="GHEA Grapalat"/>
              </w:rPr>
              <w:softHyphen/>
              <w:t>մում և</w:t>
            </w:r>
            <w:r w:rsidR="003262E8">
              <w:rPr>
                <w:rFonts w:ascii="GHEA Grapalat" w:hAnsi="GHEA Grapalat"/>
              </w:rPr>
              <w:t xml:space="preserve"> </w:t>
            </w:r>
            <w:r w:rsidR="003262E8" w:rsidRPr="00824C14">
              <w:rPr>
                <w:rFonts w:ascii="GHEA Grapalat" w:hAnsi="GHEA Grapalat"/>
              </w:rPr>
              <w:t xml:space="preserve">պետական իշխանության մի մարմնից պետական իշխանության մեկ այլ մարմին առանց աշխատանքի ընդհատման տեղափոխվելու </w:t>
            </w:r>
            <w:r w:rsidR="003262E8">
              <w:rPr>
                <w:rFonts w:ascii="GHEA Grapalat" w:hAnsi="GHEA Grapalat"/>
              </w:rPr>
              <w:t xml:space="preserve"> դեպքերում այն </w:t>
            </w:r>
            <w:r w:rsidR="003262E8" w:rsidRPr="002A3B5D">
              <w:rPr>
                <w:rFonts w:ascii="GHEA Grapalat" w:hAnsi="GHEA Grapalat"/>
              </w:rPr>
              <w:t>աշխատողների պարգևատրման չափը, ովքեր ձեռք են բերել պարգևատրման իրավունք (</w:t>
            </w:r>
            <w:r w:rsidR="003262E8" w:rsidRPr="00824C14">
              <w:rPr>
                <w:rFonts w:ascii="GHEA Grapalat" w:hAnsi="GHEA Grapalat"/>
              </w:rPr>
              <w:t>կատարողականի կիսամյակային գնահատականը 75 տոկոս և ավելի է</w:t>
            </w:r>
            <w:r w:rsidR="003262E8" w:rsidRPr="002A3B5D">
              <w:rPr>
                <w:rFonts w:ascii="GHEA Grapalat" w:hAnsi="GHEA Grapalat"/>
              </w:rPr>
              <w:t>):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34" w:firstLine="360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ind w:firstLine="45"/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351F19" w:rsidRDefault="003B7A51" w:rsidP="00F979EC">
            <w:pPr>
              <w:ind w:left="34" w:firstLine="360"/>
              <w:rPr>
                <w:rFonts w:ascii="GHEA Grapalat" w:hAnsi="GHEA Grapalat"/>
              </w:rPr>
            </w:pPr>
            <w:r w:rsidRPr="00351F19">
              <w:rPr>
                <w:rFonts w:ascii="GHEA Grapalat" w:hAnsi="GHEA Grapalat"/>
              </w:rPr>
              <w:t xml:space="preserve">ՀՀ կառավարության աշխատակազմ 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-108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7A44C3" w:rsidRDefault="003B7A51" w:rsidP="004A1124">
            <w:pPr>
              <w:ind w:left="34" w:firstLine="360"/>
              <w:rPr>
                <w:rFonts w:ascii="GHEA Grapalat" w:hAnsi="GHEA Grapalat"/>
                <w:b/>
              </w:rPr>
            </w:pPr>
            <w:r w:rsidRPr="007A44C3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3B7A51" w:rsidRPr="00351F19" w:rsidTr="004A112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51" w:rsidRPr="00351F19" w:rsidRDefault="003B7A51" w:rsidP="004A1124">
            <w:pPr>
              <w:ind w:firstLine="45"/>
              <w:rPr>
                <w:rFonts w:ascii="GHEA Grapalat" w:hAnsi="GHEA Grapalat"/>
              </w:rPr>
            </w:pPr>
          </w:p>
        </w:tc>
        <w:tc>
          <w:tcPr>
            <w:tcW w:w="10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A51" w:rsidRPr="00351F19" w:rsidRDefault="00F979EC" w:rsidP="003262E8">
            <w:pPr>
              <w:spacing w:after="0" w:line="240" w:lineRule="auto"/>
              <w:ind w:left="29" w:firstLine="360"/>
              <w:jc w:val="both"/>
              <w:rPr>
                <w:rFonts w:ascii="GHEA Grapalat" w:hAnsi="GHEA Grapalat"/>
              </w:rPr>
            </w:pPr>
            <w:r w:rsidRPr="00351F19">
              <w:rPr>
                <w:rFonts w:ascii="GHEA Grapalat" w:hAnsi="GHEA Grapalat"/>
              </w:rPr>
              <w:t>ՀՀ պետական կառավարման մարմինների</w:t>
            </w:r>
            <w:r w:rsidR="003262E8">
              <w:rPr>
                <w:rFonts w:ascii="GHEA Grapalat" w:hAnsi="GHEA Grapalat"/>
              </w:rPr>
              <w:t>,  ինչպես նաև մ</w:t>
            </w:r>
            <w:r w:rsidR="003262E8" w:rsidRPr="00824C14">
              <w:rPr>
                <w:rFonts w:ascii="GHEA Grapalat" w:hAnsi="GHEA Grapalat"/>
              </w:rPr>
              <w:t xml:space="preserve">եկ կիսամյակի ընթացքում </w:t>
            </w:r>
            <w:r w:rsidR="003262E8">
              <w:rPr>
                <w:rFonts w:ascii="GHEA Grapalat" w:hAnsi="GHEA Grapalat"/>
              </w:rPr>
              <w:t xml:space="preserve"> </w:t>
            </w:r>
            <w:r w:rsidR="003262E8" w:rsidRPr="002A3B5D">
              <w:rPr>
                <w:rFonts w:ascii="GHEA Grapalat" w:hAnsi="GHEA Grapalat"/>
              </w:rPr>
              <w:t>պետական իշխանության մարմնի աշխա</w:t>
            </w:r>
            <w:r w:rsidR="003262E8" w:rsidRPr="002A3B5D">
              <w:rPr>
                <w:rFonts w:ascii="GHEA Grapalat" w:hAnsi="GHEA Grapalat"/>
              </w:rPr>
              <w:softHyphen/>
              <w:t>տա</w:t>
            </w:r>
            <w:r w:rsidR="003262E8" w:rsidRPr="002A3B5D">
              <w:rPr>
                <w:rFonts w:ascii="GHEA Grapalat" w:hAnsi="GHEA Grapalat"/>
              </w:rPr>
              <w:softHyphen/>
              <w:t>կազ</w:t>
            </w:r>
            <w:r w:rsidR="003262E8" w:rsidRPr="002A3B5D">
              <w:rPr>
                <w:rFonts w:ascii="GHEA Grapalat" w:hAnsi="GHEA Grapalat"/>
              </w:rPr>
              <w:softHyphen/>
              <w:t>մում և</w:t>
            </w:r>
            <w:r w:rsidR="003262E8">
              <w:rPr>
                <w:rFonts w:ascii="GHEA Grapalat" w:hAnsi="GHEA Grapalat"/>
              </w:rPr>
              <w:t xml:space="preserve"> </w:t>
            </w:r>
            <w:r w:rsidR="003262E8" w:rsidRPr="00824C14">
              <w:rPr>
                <w:rFonts w:ascii="GHEA Grapalat" w:hAnsi="GHEA Grapalat"/>
              </w:rPr>
              <w:t xml:space="preserve">պետական իշխանության մի մարմնից պետական իշխանության մեկ այլ մարմին առանց աշխատանքի ընդհատման տեղափոխվելու </w:t>
            </w:r>
            <w:r w:rsidR="003262E8">
              <w:rPr>
                <w:rFonts w:ascii="GHEA Grapalat" w:hAnsi="GHEA Grapalat"/>
              </w:rPr>
              <w:t xml:space="preserve"> դեպքերում</w:t>
            </w:r>
            <w:r w:rsidRPr="00351F19">
              <w:rPr>
                <w:rFonts w:ascii="GHEA Grapalat" w:hAnsi="GHEA Grapalat"/>
              </w:rPr>
              <w:t xml:space="preserve"> </w:t>
            </w:r>
            <w:r w:rsidR="003262E8" w:rsidRPr="00351F19">
              <w:rPr>
                <w:rFonts w:ascii="GHEA Grapalat" w:hAnsi="GHEA Grapalat"/>
              </w:rPr>
              <w:t xml:space="preserve">աշխատողների </w:t>
            </w:r>
            <w:r w:rsidRPr="00351F19">
              <w:rPr>
                <w:rFonts w:ascii="GHEA Grapalat" w:hAnsi="GHEA Grapalat"/>
              </w:rPr>
              <w:t xml:space="preserve">կատարողականների կիսամյակային գնահատականների հիման վրա պարգևավճարի հստակ հաշվարկի  </w:t>
            </w:r>
            <w:r w:rsidR="003B7A51" w:rsidRPr="00351F19">
              <w:rPr>
                <w:rFonts w:ascii="GHEA Grapalat" w:hAnsi="GHEA Grapalat"/>
              </w:rPr>
              <w:t>ապահովում</w:t>
            </w:r>
            <w:r w:rsidR="003262E8">
              <w:rPr>
                <w:rFonts w:ascii="GHEA Grapalat" w:hAnsi="GHEA Grapalat"/>
              </w:rPr>
              <w:t xml:space="preserve"> </w:t>
            </w:r>
            <w:r w:rsidR="002153ED" w:rsidRPr="00C025D3">
              <w:rPr>
                <w:rFonts w:ascii="GHEA Grapalat" w:hAnsi="GHEA Grapalat"/>
                <w:b/>
              </w:rPr>
              <w:t>/հաշվարկի օրինակը կցվում է/</w:t>
            </w:r>
          </w:p>
        </w:tc>
      </w:tr>
    </w:tbl>
    <w:p w:rsidR="00EB0668" w:rsidRPr="00351F19" w:rsidRDefault="00EB066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C025D3" w:rsidRDefault="00C025D3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77436E" w:rsidRDefault="0077436E" w:rsidP="0077436E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sz w:val="22"/>
          <w:szCs w:val="22"/>
        </w:rPr>
      </w:pPr>
    </w:p>
    <w:p w:rsidR="0077436E" w:rsidRDefault="0077436E" w:rsidP="0077436E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sz w:val="22"/>
          <w:szCs w:val="22"/>
        </w:rPr>
      </w:pPr>
      <w:r w:rsidRPr="00256F00">
        <w:rPr>
          <w:rFonts w:ascii="GHEA Grapalat" w:eastAsiaTheme="minorHAnsi" w:hAnsi="GHEA Grapalat" w:cstheme="minorBidi"/>
          <w:sz w:val="22"/>
          <w:szCs w:val="22"/>
        </w:rPr>
        <w:t>Հ</w:t>
      </w:r>
      <w:r>
        <w:rPr>
          <w:rFonts w:ascii="GHEA Grapalat" w:eastAsiaTheme="minorHAnsi" w:hAnsi="GHEA Grapalat" w:cstheme="minorBidi"/>
          <w:sz w:val="22"/>
          <w:szCs w:val="22"/>
        </w:rPr>
        <w:t xml:space="preserve">ԱՅԱՍՏԱՆԻ </w:t>
      </w:r>
      <w:r w:rsidRPr="00256F00">
        <w:rPr>
          <w:rFonts w:ascii="GHEA Grapalat" w:eastAsiaTheme="minorHAnsi" w:hAnsi="GHEA Grapalat" w:cstheme="minorBidi"/>
          <w:sz w:val="22"/>
          <w:szCs w:val="22"/>
        </w:rPr>
        <w:t>Հ</w:t>
      </w:r>
      <w:r>
        <w:rPr>
          <w:rFonts w:ascii="GHEA Grapalat" w:eastAsiaTheme="minorHAnsi" w:hAnsi="GHEA Grapalat" w:cstheme="minorBidi"/>
          <w:sz w:val="22"/>
          <w:szCs w:val="22"/>
        </w:rPr>
        <w:t>ԱՆՐԱՊԵՏՈՒԹՅԱՆ</w:t>
      </w:r>
      <w:r w:rsidRPr="00256F00">
        <w:rPr>
          <w:rFonts w:ascii="GHEA Grapalat" w:eastAsiaTheme="minorHAnsi" w:hAnsi="GHEA Grapalat" w:cstheme="minorBidi"/>
          <w:sz w:val="22"/>
          <w:szCs w:val="22"/>
        </w:rPr>
        <w:t xml:space="preserve"> ԿԱՌԱՎԱՐՈՒԹՅԱՆ 201</w:t>
      </w:r>
      <w:r>
        <w:rPr>
          <w:rFonts w:ascii="GHEA Grapalat" w:eastAsiaTheme="minorHAnsi" w:hAnsi="GHEA Grapalat" w:cstheme="minorBidi"/>
          <w:sz w:val="22"/>
          <w:szCs w:val="22"/>
        </w:rPr>
        <w:t>1</w:t>
      </w:r>
      <w:r w:rsidRPr="00256F00">
        <w:rPr>
          <w:rFonts w:ascii="GHEA Grapalat" w:eastAsiaTheme="minorHAnsi" w:hAnsi="GHEA Grapalat" w:cstheme="minorBidi"/>
          <w:sz w:val="22"/>
          <w:szCs w:val="22"/>
        </w:rPr>
        <w:t xml:space="preserve"> ԹՎԱԿԱՆԻ ՀՈ</w:t>
      </w:r>
      <w:r>
        <w:rPr>
          <w:rFonts w:ascii="GHEA Grapalat" w:eastAsiaTheme="minorHAnsi" w:hAnsi="GHEA Grapalat" w:cstheme="minorBidi"/>
          <w:sz w:val="22"/>
          <w:szCs w:val="22"/>
        </w:rPr>
        <w:t>ԿՏԵՄԲԵՐԻ</w:t>
      </w:r>
      <w:r w:rsidRPr="00256F00">
        <w:rPr>
          <w:rFonts w:ascii="GHEA Grapalat" w:eastAsiaTheme="minorHAnsi" w:hAnsi="GHEA Grapalat" w:cstheme="minorBidi"/>
          <w:sz w:val="22"/>
          <w:szCs w:val="22"/>
        </w:rPr>
        <w:t xml:space="preserve"> 2</w:t>
      </w:r>
      <w:r>
        <w:rPr>
          <w:rFonts w:ascii="GHEA Grapalat" w:eastAsiaTheme="minorHAnsi" w:hAnsi="GHEA Grapalat" w:cstheme="minorBidi"/>
          <w:sz w:val="22"/>
          <w:szCs w:val="22"/>
        </w:rPr>
        <w:t>0</w:t>
      </w:r>
      <w:r w:rsidRPr="00256F00">
        <w:rPr>
          <w:rFonts w:ascii="GHEA Grapalat" w:eastAsiaTheme="minorHAnsi" w:hAnsi="GHEA Grapalat" w:cstheme="minorBidi"/>
          <w:sz w:val="22"/>
          <w:szCs w:val="22"/>
        </w:rPr>
        <w:t xml:space="preserve">-Ի </w:t>
      </w:r>
      <w:r>
        <w:rPr>
          <w:rFonts w:ascii="GHEA Grapalat" w:eastAsiaTheme="minorHAnsi" w:hAnsi="GHEA Grapalat" w:cstheme="minorBidi"/>
          <w:sz w:val="22"/>
          <w:szCs w:val="22"/>
        </w:rPr>
        <w:t xml:space="preserve"> </w:t>
      </w:r>
      <w:r w:rsidRPr="00256F00">
        <w:rPr>
          <w:rFonts w:ascii="GHEA Grapalat" w:eastAsiaTheme="minorHAnsi" w:hAnsi="GHEA Grapalat" w:cstheme="minorBidi"/>
          <w:sz w:val="22"/>
          <w:szCs w:val="22"/>
        </w:rPr>
        <w:t>N 15</w:t>
      </w:r>
      <w:r>
        <w:rPr>
          <w:rFonts w:ascii="GHEA Grapalat" w:eastAsiaTheme="minorHAnsi" w:hAnsi="GHEA Grapalat" w:cstheme="minorBidi"/>
          <w:sz w:val="22"/>
          <w:szCs w:val="22"/>
        </w:rPr>
        <w:t>10</w:t>
      </w:r>
      <w:r w:rsidRPr="00256F00">
        <w:rPr>
          <w:rFonts w:ascii="GHEA Grapalat" w:eastAsiaTheme="minorHAnsi" w:hAnsi="GHEA Grapalat" w:cstheme="minorBidi"/>
          <w:sz w:val="22"/>
          <w:szCs w:val="22"/>
        </w:rPr>
        <w:t xml:space="preserve">-Ն ՈՐՈՇՄԱՆ ՄԵՋ </w:t>
      </w:r>
      <w:r w:rsidRPr="00351F19">
        <w:rPr>
          <w:rFonts w:ascii="GHEA Grapalat" w:eastAsiaTheme="minorHAnsi" w:hAnsi="GHEA Grapalat" w:cstheme="minorBidi"/>
          <w:sz w:val="22"/>
          <w:szCs w:val="22"/>
        </w:rPr>
        <w:t xml:space="preserve">ԼՐԱՑՈՒՄ ԵՎ </w:t>
      </w:r>
      <w:r w:rsidRPr="00256F00">
        <w:rPr>
          <w:rFonts w:ascii="GHEA Grapalat" w:eastAsiaTheme="minorHAnsi" w:hAnsi="GHEA Grapalat" w:cstheme="minorBidi"/>
          <w:sz w:val="22"/>
          <w:szCs w:val="22"/>
        </w:rPr>
        <w:t>ՓՈՓՈԽՈՒԹՅՈՒՆ ԿԱՏԱՐԵԼՈՒ ՄԱՍԻՆ</w:t>
      </w:r>
    </w:p>
    <w:p w:rsidR="0077436E" w:rsidRDefault="0077436E" w:rsidP="0077436E">
      <w:pPr>
        <w:ind w:firstLine="709"/>
        <w:jc w:val="center"/>
        <w:rPr>
          <w:rFonts w:ascii="Arial Unicode" w:hAnsi="Arial Unicode"/>
        </w:rPr>
      </w:pPr>
      <w:r>
        <w:rPr>
          <w:rFonts w:ascii="Arial Unicode" w:hAnsi="Arial Unicode"/>
        </w:rPr>
        <w:t>ՀՀ ԿԱՌԱՎԱՐՈՒԹՅԱՆ ՈՐՈՇՄԱՆ ՆԱԽԱԳԾՈՎ ԱՌԱՋԱՐԿՎՈՂ ՀԱՇՎԱՐԿԻ ՕՐԻՆԱԿ</w:t>
      </w:r>
    </w:p>
    <w:p w:rsidR="0077436E" w:rsidRPr="0055546B" w:rsidRDefault="0077436E" w:rsidP="0077436E">
      <w:pPr>
        <w:ind w:firstLine="709"/>
        <w:jc w:val="center"/>
        <w:rPr>
          <w:rFonts w:ascii="Arial Unicode" w:hAnsi="Arial Unicode"/>
        </w:rPr>
      </w:pPr>
    </w:p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ԿՊՖ = 290000 դրամ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3030"/>
        <w:gridCol w:w="3463"/>
      </w:tblGrid>
      <w:tr w:rsidR="0077436E" w:rsidRPr="0055546B" w:rsidTr="0004651F">
        <w:trPr>
          <w:trHeight w:val="1488"/>
        </w:trPr>
        <w:tc>
          <w:tcPr>
            <w:tcW w:w="2626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Աշխատողներ</w:t>
            </w:r>
          </w:p>
        </w:tc>
        <w:tc>
          <w:tcPr>
            <w:tcW w:w="303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Աշխատողների պաշտոնային դրույքաչափ</w:t>
            </w:r>
          </w:p>
        </w:tc>
        <w:tc>
          <w:tcPr>
            <w:tcW w:w="3463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Աշխատողի կատարողականի կիսամյակի գնահատական        ԿԿԳ  %</w:t>
            </w:r>
          </w:p>
        </w:tc>
      </w:tr>
      <w:tr w:rsidR="0077436E" w:rsidRPr="0055546B" w:rsidTr="0004651F">
        <w:trPr>
          <w:trHeight w:val="190"/>
        </w:trPr>
        <w:tc>
          <w:tcPr>
            <w:tcW w:w="2626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1</w:t>
            </w:r>
          </w:p>
        </w:tc>
        <w:tc>
          <w:tcPr>
            <w:tcW w:w="303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120000</w:t>
            </w:r>
          </w:p>
        </w:tc>
        <w:tc>
          <w:tcPr>
            <w:tcW w:w="3463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89.5</w:t>
            </w:r>
          </w:p>
        </w:tc>
      </w:tr>
      <w:tr w:rsidR="0077436E" w:rsidRPr="0055546B" w:rsidTr="0004651F">
        <w:trPr>
          <w:trHeight w:val="304"/>
        </w:trPr>
        <w:tc>
          <w:tcPr>
            <w:tcW w:w="2626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2</w:t>
            </w:r>
          </w:p>
        </w:tc>
        <w:tc>
          <w:tcPr>
            <w:tcW w:w="303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110000</w:t>
            </w:r>
          </w:p>
        </w:tc>
        <w:tc>
          <w:tcPr>
            <w:tcW w:w="3463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90.0</w:t>
            </w:r>
          </w:p>
        </w:tc>
      </w:tr>
      <w:tr w:rsidR="0077436E" w:rsidRPr="0055546B" w:rsidTr="0004651F">
        <w:trPr>
          <w:trHeight w:val="304"/>
        </w:trPr>
        <w:tc>
          <w:tcPr>
            <w:tcW w:w="2626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3</w:t>
            </w:r>
          </w:p>
        </w:tc>
        <w:tc>
          <w:tcPr>
            <w:tcW w:w="303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130000</w:t>
            </w:r>
          </w:p>
        </w:tc>
        <w:tc>
          <w:tcPr>
            <w:tcW w:w="3463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85.4</w:t>
            </w:r>
          </w:p>
        </w:tc>
      </w:tr>
    </w:tbl>
    <w:p w:rsidR="0077436E" w:rsidRPr="0055546B" w:rsidRDefault="0077436E" w:rsidP="0077436E">
      <w:pPr>
        <w:jc w:val="both"/>
        <w:rPr>
          <w:rFonts w:ascii="Arial Unicode" w:hAnsi="Arial Unicode"/>
        </w:rPr>
      </w:pPr>
    </w:p>
    <w:p w:rsidR="0077436E" w:rsidRPr="0055546B" w:rsidRDefault="0077436E" w:rsidP="0077436E">
      <w:pPr>
        <w:pStyle w:val="ListParagraph"/>
        <w:numPr>
          <w:ilvl w:val="0"/>
          <w:numId w:val="1"/>
        </w:numPr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քայլ առաջին</w:t>
      </w:r>
    </w:p>
    <w:p w:rsidR="0077436E" w:rsidRPr="0055546B" w:rsidRDefault="0077436E" w:rsidP="0077436E">
      <w:pPr>
        <w:spacing w:after="0" w:line="240" w:lineRule="auto"/>
        <w:ind w:left="2160" w:right="-907" w:firstLine="720"/>
        <w:rPr>
          <w:rFonts w:ascii="Arial Unicode" w:hAnsi="Arial Unicode"/>
        </w:rPr>
      </w:pPr>
      <w:r w:rsidRPr="0055546B">
        <w:rPr>
          <w:rFonts w:ascii="Arial Unicode" w:hAnsi="Arial Unicode"/>
        </w:rPr>
        <w:t>290000</w:t>
      </w:r>
      <w:r w:rsidRPr="0055546B">
        <w:rPr>
          <w:rFonts w:ascii="Arial Unicode" w:hAnsi="Arial Unicode"/>
        </w:rPr>
        <w:tab/>
      </w:r>
      <w:r w:rsidRPr="0055546B">
        <w:rPr>
          <w:rFonts w:ascii="Arial Unicode" w:hAnsi="Arial Unicode"/>
        </w:rPr>
        <w:tab/>
      </w:r>
      <w:r w:rsidRPr="0055546B">
        <w:rPr>
          <w:rFonts w:ascii="Arial Unicode" w:hAnsi="Arial Unicode"/>
        </w:rPr>
        <w:tab/>
      </w:r>
      <w:r w:rsidRPr="0055546B">
        <w:rPr>
          <w:rFonts w:ascii="Arial Unicode" w:hAnsi="Arial Unicode"/>
        </w:rPr>
        <w:tab/>
      </w:r>
      <w:r w:rsidRPr="0055546B">
        <w:rPr>
          <w:rFonts w:ascii="Arial Unicode" w:hAnsi="Arial Unicode"/>
        </w:rPr>
        <w:tab/>
      </w:r>
      <w:r w:rsidRPr="0055546B">
        <w:rPr>
          <w:rFonts w:ascii="Arial Unicode" w:hAnsi="Arial Unicode"/>
        </w:rPr>
        <w:tab/>
        <w:t>290000</w:t>
      </w:r>
    </w:p>
    <w:p w:rsidR="0077436E" w:rsidRPr="0055546B" w:rsidRDefault="0077436E" w:rsidP="0077436E">
      <w:pPr>
        <w:spacing w:after="0" w:line="240" w:lineRule="auto"/>
        <w:ind w:right="-907"/>
        <w:rPr>
          <w:rFonts w:ascii="Arial Unicode" w:hAnsi="Arial Unicode"/>
        </w:rPr>
      </w:pPr>
      <w:r w:rsidRPr="0055546B">
        <w:rPr>
          <w:rFonts w:ascii="Arial Unicode" w:hAnsi="Arial Unicode"/>
        </w:rPr>
        <w:t>Գ     =       ----------------------------------------------------------------------------- = ----------------------------------- =</w:t>
      </w:r>
    </w:p>
    <w:p w:rsidR="0077436E" w:rsidRPr="0055546B" w:rsidRDefault="0077436E" w:rsidP="0077436E">
      <w:pPr>
        <w:spacing w:after="0" w:line="240" w:lineRule="auto"/>
        <w:ind w:right="-907"/>
        <w:rPr>
          <w:rFonts w:ascii="Arial Unicode" w:hAnsi="Arial Unicode"/>
        </w:rPr>
      </w:pPr>
      <w:r w:rsidRPr="0055546B">
        <w:rPr>
          <w:rFonts w:ascii="Arial Unicode" w:hAnsi="Arial Unicode"/>
        </w:rPr>
        <w:t xml:space="preserve">                ((120000 * 89.5%) + (110000 * 90.0%) + (130000 * 85.4%))     (107400+99000+111020)</w:t>
      </w:r>
    </w:p>
    <w:p w:rsidR="0077436E" w:rsidRPr="0055546B" w:rsidRDefault="0077436E" w:rsidP="0077436E">
      <w:pPr>
        <w:spacing w:line="240" w:lineRule="auto"/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 xml:space="preserve">      </w:t>
      </w:r>
    </w:p>
    <w:p w:rsidR="0077436E" w:rsidRPr="0055546B" w:rsidRDefault="0077436E" w:rsidP="0077436E">
      <w:pPr>
        <w:spacing w:after="0"/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 xml:space="preserve">         290000</w:t>
      </w:r>
    </w:p>
    <w:p w:rsidR="0077436E" w:rsidRPr="0055546B" w:rsidRDefault="0077436E" w:rsidP="0077436E">
      <w:pPr>
        <w:spacing w:after="0"/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= --------------------- = 0,9136 *100 = 91.36%</w:t>
      </w:r>
    </w:p>
    <w:p w:rsidR="0077436E" w:rsidRPr="0055546B" w:rsidRDefault="0077436E" w:rsidP="0077436E">
      <w:pPr>
        <w:spacing w:after="0"/>
        <w:ind w:firstLine="706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 xml:space="preserve">        317420</w:t>
      </w:r>
    </w:p>
    <w:p w:rsidR="0077436E" w:rsidRPr="0055546B" w:rsidRDefault="0077436E" w:rsidP="0077436E">
      <w:pPr>
        <w:spacing w:after="0"/>
        <w:ind w:firstLine="706"/>
        <w:jc w:val="both"/>
        <w:rPr>
          <w:rFonts w:ascii="Arial Unicode" w:hAnsi="Arial Unicode"/>
        </w:rPr>
      </w:pPr>
    </w:p>
    <w:p w:rsidR="0077436E" w:rsidRPr="0055546B" w:rsidRDefault="0077436E" w:rsidP="0077436E">
      <w:pPr>
        <w:pStyle w:val="ListParagraph"/>
        <w:numPr>
          <w:ilvl w:val="0"/>
          <w:numId w:val="1"/>
        </w:numPr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քայլ երկրորդ</w:t>
      </w:r>
    </w:p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ՊՉ</w:t>
      </w:r>
      <w:r w:rsidRPr="0055546B">
        <w:rPr>
          <w:rFonts w:ascii="Arial Unicode" w:hAnsi="Arial Unicode"/>
          <w:vertAlign w:val="subscript"/>
        </w:rPr>
        <w:t>1</w:t>
      </w:r>
      <w:r w:rsidRPr="0055546B">
        <w:rPr>
          <w:rFonts w:ascii="Arial Unicode" w:hAnsi="Arial Unicode"/>
        </w:rPr>
        <w:t xml:space="preserve"> = 120000*89.5% * 91.36% = 98121 դրամ</w:t>
      </w:r>
    </w:p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ՊՉ</w:t>
      </w:r>
      <w:r w:rsidRPr="0055546B">
        <w:rPr>
          <w:rFonts w:ascii="Arial Unicode" w:hAnsi="Arial Unicode"/>
          <w:vertAlign w:val="subscript"/>
        </w:rPr>
        <w:t>2</w:t>
      </w:r>
      <w:r w:rsidRPr="0055546B">
        <w:rPr>
          <w:rFonts w:ascii="Arial Unicode" w:hAnsi="Arial Unicode"/>
        </w:rPr>
        <w:t xml:space="preserve"> = 110000*90.0% * 91.36% = 90446 դրամ</w:t>
      </w:r>
    </w:p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>ՊՉ</w:t>
      </w:r>
      <w:r w:rsidRPr="0055546B">
        <w:rPr>
          <w:rFonts w:ascii="Arial Unicode" w:hAnsi="Arial Unicode"/>
          <w:vertAlign w:val="subscript"/>
        </w:rPr>
        <w:t>3</w:t>
      </w:r>
      <w:r w:rsidRPr="0055546B">
        <w:rPr>
          <w:rFonts w:ascii="Arial Unicode" w:hAnsi="Arial Unicode"/>
        </w:rPr>
        <w:t xml:space="preserve"> = 130000*85.4% * 91.36% = 101428 դրամ</w:t>
      </w:r>
    </w:p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  <w:r w:rsidRPr="0055546B">
        <w:rPr>
          <w:rFonts w:ascii="Arial Unicode" w:hAnsi="Arial Unicode"/>
        </w:rPr>
        <w:t xml:space="preserve">Արդյունքում`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890"/>
        <w:gridCol w:w="2160"/>
        <w:gridCol w:w="1440"/>
        <w:gridCol w:w="1457"/>
        <w:gridCol w:w="991"/>
      </w:tblGrid>
      <w:tr w:rsidR="0077436E" w:rsidRPr="0055546B" w:rsidTr="0004651F">
        <w:tc>
          <w:tcPr>
            <w:tcW w:w="1638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Աշխատողներ</w:t>
            </w:r>
          </w:p>
        </w:tc>
        <w:tc>
          <w:tcPr>
            <w:tcW w:w="189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Աշխատողների պաշտոնային դրույքաչափ</w:t>
            </w:r>
          </w:p>
        </w:tc>
        <w:tc>
          <w:tcPr>
            <w:tcW w:w="216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Աշխատողի կատարողականի կիսամյակի գնահատական        ԿԿԳ  %</w:t>
            </w:r>
          </w:p>
        </w:tc>
        <w:tc>
          <w:tcPr>
            <w:tcW w:w="144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 * ԿԿԳ%</w:t>
            </w:r>
          </w:p>
        </w:tc>
        <w:tc>
          <w:tcPr>
            <w:tcW w:w="1457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Գ %</w:t>
            </w:r>
          </w:p>
        </w:tc>
        <w:tc>
          <w:tcPr>
            <w:tcW w:w="991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ՊՉ</w:t>
            </w:r>
          </w:p>
        </w:tc>
      </w:tr>
      <w:tr w:rsidR="0077436E" w:rsidRPr="0055546B" w:rsidTr="0004651F">
        <w:trPr>
          <w:trHeight w:val="188"/>
        </w:trPr>
        <w:tc>
          <w:tcPr>
            <w:tcW w:w="1638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1</w:t>
            </w:r>
          </w:p>
        </w:tc>
        <w:tc>
          <w:tcPr>
            <w:tcW w:w="189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120000</w:t>
            </w:r>
          </w:p>
        </w:tc>
        <w:tc>
          <w:tcPr>
            <w:tcW w:w="216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89.5</w:t>
            </w:r>
          </w:p>
        </w:tc>
        <w:tc>
          <w:tcPr>
            <w:tcW w:w="144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107400</w:t>
            </w:r>
          </w:p>
        </w:tc>
        <w:tc>
          <w:tcPr>
            <w:tcW w:w="1457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91.36</w:t>
            </w:r>
          </w:p>
        </w:tc>
        <w:tc>
          <w:tcPr>
            <w:tcW w:w="991" w:type="dxa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98121</w:t>
            </w:r>
          </w:p>
        </w:tc>
      </w:tr>
      <w:tr w:rsidR="0077436E" w:rsidRPr="0055546B" w:rsidTr="0004651F">
        <w:tc>
          <w:tcPr>
            <w:tcW w:w="1638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2</w:t>
            </w:r>
          </w:p>
        </w:tc>
        <w:tc>
          <w:tcPr>
            <w:tcW w:w="189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110000</w:t>
            </w:r>
          </w:p>
        </w:tc>
        <w:tc>
          <w:tcPr>
            <w:tcW w:w="216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90.0</w:t>
            </w:r>
          </w:p>
        </w:tc>
        <w:tc>
          <w:tcPr>
            <w:tcW w:w="144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99000</w:t>
            </w:r>
          </w:p>
        </w:tc>
        <w:tc>
          <w:tcPr>
            <w:tcW w:w="1457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91.36</w:t>
            </w:r>
          </w:p>
        </w:tc>
        <w:tc>
          <w:tcPr>
            <w:tcW w:w="991" w:type="dxa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90446</w:t>
            </w:r>
          </w:p>
        </w:tc>
      </w:tr>
      <w:tr w:rsidR="0077436E" w:rsidRPr="0055546B" w:rsidTr="0004651F">
        <w:tc>
          <w:tcPr>
            <w:tcW w:w="1638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Ա</w:t>
            </w:r>
            <w:r w:rsidRPr="0055546B">
              <w:rPr>
                <w:rFonts w:ascii="Arial Unicode" w:hAnsi="Arial Unicode"/>
                <w:vertAlign w:val="subscript"/>
              </w:rPr>
              <w:t>3</w:t>
            </w:r>
          </w:p>
        </w:tc>
        <w:tc>
          <w:tcPr>
            <w:tcW w:w="189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130000</w:t>
            </w:r>
          </w:p>
        </w:tc>
        <w:tc>
          <w:tcPr>
            <w:tcW w:w="216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85.4</w:t>
            </w:r>
          </w:p>
        </w:tc>
        <w:tc>
          <w:tcPr>
            <w:tcW w:w="144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111020</w:t>
            </w:r>
          </w:p>
        </w:tc>
        <w:tc>
          <w:tcPr>
            <w:tcW w:w="1457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91.36</w:t>
            </w:r>
          </w:p>
        </w:tc>
        <w:tc>
          <w:tcPr>
            <w:tcW w:w="991" w:type="dxa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101428</w:t>
            </w:r>
          </w:p>
        </w:tc>
      </w:tr>
      <w:tr w:rsidR="0077436E" w:rsidRPr="0055546B" w:rsidTr="0004651F">
        <w:tc>
          <w:tcPr>
            <w:tcW w:w="1638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Ընդամենը</w:t>
            </w:r>
          </w:p>
        </w:tc>
        <w:tc>
          <w:tcPr>
            <w:tcW w:w="189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216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317420</w:t>
            </w:r>
          </w:p>
        </w:tc>
        <w:tc>
          <w:tcPr>
            <w:tcW w:w="1457" w:type="dxa"/>
            <w:vAlign w:val="center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991" w:type="dxa"/>
          </w:tcPr>
          <w:p w:rsidR="0077436E" w:rsidRPr="0055546B" w:rsidRDefault="0077436E" w:rsidP="0004651F">
            <w:pPr>
              <w:jc w:val="center"/>
              <w:rPr>
                <w:rFonts w:ascii="Arial Unicode" w:hAnsi="Arial Unicode"/>
              </w:rPr>
            </w:pPr>
            <w:r w:rsidRPr="0055546B">
              <w:rPr>
                <w:rFonts w:ascii="Arial Unicode" w:hAnsi="Arial Unicode"/>
              </w:rPr>
              <w:t>289995</w:t>
            </w:r>
          </w:p>
        </w:tc>
      </w:tr>
    </w:tbl>
    <w:p w:rsidR="0077436E" w:rsidRPr="0055546B" w:rsidRDefault="0077436E" w:rsidP="0077436E">
      <w:pPr>
        <w:ind w:firstLine="709"/>
        <w:jc w:val="both"/>
        <w:rPr>
          <w:rFonts w:ascii="Arial Unicode" w:hAnsi="Arial Unicode"/>
        </w:rPr>
      </w:pPr>
    </w:p>
    <w:p w:rsidR="0077436E" w:rsidRPr="00351F19" w:rsidRDefault="0077436E" w:rsidP="0077436E">
      <w:pPr>
        <w:rPr>
          <w:rFonts w:ascii="GHEA Grapalat" w:hAnsi="GHEA Grapalat"/>
        </w:rPr>
      </w:pPr>
    </w:p>
    <w:p w:rsidR="003262E8" w:rsidRDefault="003262E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3262E8" w:rsidRDefault="003262E8" w:rsidP="00EB0668">
      <w:pPr>
        <w:tabs>
          <w:tab w:val="left" w:pos="540"/>
        </w:tabs>
        <w:jc w:val="center"/>
        <w:rPr>
          <w:rFonts w:ascii="Arial Unicode" w:hAnsi="Arial Unicode"/>
        </w:rPr>
      </w:pPr>
    </w:p>
    <w:p w:rsidR="003262E8" w:rsidRDefault="003262E8" w:rsidP="00EB0668">
      <w:pPr>
        <w:tabs>
          <w:tab w:val="left" w:pos="540"/>
        </w:tabs>
        <w:jc w:val="center"/>
        <w:rPr>
          <w:rFonts w:ascii="Arial Unicode" w:hAnsi="Arial Unicode"/>
        </w:rPr>
      </w:pPr>
    </w:p>
    <w:p w:rsidR="003262E8" w:rsidRDefault="003262E8" w:rsidP="00EB0668">
      <w:pPr>
        <w:tabs>
          <w:tab w:val="left" w:pos="540"/>
        </w:tabs>
        <w:jc w:val="center"/>
        <w:rPr>
          <w:rFonts w:ascii="Arial Unicode" w:hAnsi="Arial Unicode"/>
        </w:rPr>
      </w:pPr>
    </w:p>
    <w:p w:rsidR="00EB0668" w:rsidRPr="007A44C3" w:rsidRDefault="00EB0668" w:rsidP="00EB0668">
      <w:pPr>
        <w:tabs>
          <w:tab w:val="left" w:pos="540"/>
        </w:tabs>
        <w:jc w:val="center"/>
        <w:rPr>
          <w:rFonts w:ascii="GHEA Grapalat" w:hAnsi="GHEA Grapalat"/>
          <w:b/>
        </w:rPr>
      </w:pPr>
      <w:r w:rsidRPr="007A44C3">
        <w:rPr>
          <w:rFonts w:ascii="GHEA Grapalat" w:hAnsi="GHEA Grapalat"/>
          <w:b/>
        </w:rPr>
        <w:t>ՏԵՂԵԿԱՆՔ</w:t>
      </w:r>
    </w:p>
    <w:p w:rsidR="00EB0668" w:rsidRPr="007A44C3" w:rsidRDefault="00EB0668" w:rsidP="003262E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b/>
          <w:sz w:val="22"/>
          <w:szCs w:val="22"/>
        </w:rPr>
      </w:pPr>
      <w:r w:rsidRPr="007A44C3">
        <w:rPr>
          <w:rFonts w:ascii="GHEA Grapalat" w:eastAsiaTheme="minorHAnsi" w:hAnsi="GHEA Grapalat" w:cstheme="minorBidi"/>
          <w:b/>
          <w:sz w:val="22"/>
          <w:szCs w:val="22"/>
        </w:rPr>
        <w:t>«</w:t>
      </w:r>
      <w:r w:rsidR="003262E8"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 ՀԱՅԱՍՏԱՆԻ ՀԱՆՐԱՊԵՏՈՒԹՅԱՆ ԿԱՌԱՎԱՐՈՒԹՅԱՆ 2011 ԹՎԱԿԱՆԻ ՀՈԿՏԵՄԲԵՐԻ 20-Ի  N 1510-Ն ՈՐՈՇՄԱՆ ՄԵՋ ԼՐԱՑՈՒՄ ԵՎ ՓՈՓՈԽՈՒԹՅՈՒՆ ԿԱՏԱՐԵԼՈՒ ՄԱՍԻՆ </w:t>
      </w:r>
      <w:r w:rsidRPr="007A44C3">
        <w:rPr>
          <w:rFonts w:ascii="GHEA Grapalat" w:eastAsiaTheme="minorHAnsi" w:hAnsi="GHEA Grapalat" w:cstheme="minorBidi"/>
          <w:b/>
          <w:sz w:val="22"/>
          <w:szCs w:val="22"/>
        </w:rPr>
        <w:t>» ՀՀ ԿԱՌԱՎԱՐՈՒԹՅԱՆ ՈՐՈՇՄԱՆ ԸՆԴՈՒՆՄԱՆ ԿԱՊԱԿՑՈՒԹՅԱՄԲ ՀՀ ՊԵՏԱԿԱՆ ԲՅՈՒՋԵՈՒՄ ԵԿԱՄՈՒՏՆԵՐԻ ԵՎ ԾԱԽՍԵՐԻ ԱՎԵԼԱՑՄԱՆ ԿԱՄ ՆՎԱԶԵՑՄԱՆ ՄԱՍԻՆ</w:t>
      </w:r>
    </w:p>
    <w:p w:rsidR="00EB0668" w:rsidRPr="00351F19" w:rsidRDefault="00EB0668" w:rsidP="00EB0668">
      <w:pPr>
        <w:rPr>
          <w:rFonts w:ascii="GHEA Grapalat" w:hAnsi="GHEA Grapalat"/>
        </w:rPr>
      </w:pPr>
    </w:p>
    <w:p w:rsidR="00EB0668" w:rsidRPr="00EB0668" w:rsidRDefault="00EB0668" w:rsidP="00EB0668">
      <w:pPr>
        <w:tabs>
          <w:tab w:val="left" w:pos="540"/>
        </w:tabs>
        <w:jc w:val="both"/>
        <w:rPr>
          <w:rFonts w:ascii="GHEA Grapalat" w:hAnsi="GHEA Grapalat"/>
        </w:rPr>
      </w:pPr>
      <w:r w:rsidRPr="00351F19">
        <w:rPr>
          <w:rFonts w:ascii="GHEA Grapalat" w:hAnsi="GHEA Grapalat"/>
        </w:rPr>
        <w:tab/>
      </w:r>
      <w:r w:rsidRPr="00EB0668">
        <w:rPr>
          <w:rFonts w:ascii="GHEA Grapalat" w:hAnsi="GHEA Grapalat"/>
        </w:rPr>
        <w:t>ՀՀ կառավարության որոշման նախագծի  ընդունման կապակցությամբ պետական և ՏԻՄ բյուջեներում ծախսերի և եկամուտների նվազեցում կամ ավելացում  չի նախատեսվում:</w:t>
      </w:r>
    </w:p>
    <w:p w:rsidR="00EB0668" w:rsidRPr="00351F19" w:rsidRDefault="00EB066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EB0668" w:rsidRPr="00351F19" w:rsidRDefault="00EB066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EB0668" w:rsidRPr="00351F19" w:rsidRDefault="00EB066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EB0668" w:rsidRPr="00351F19" w:rsidRDefault="00EB0668" w:rsidP="00EB0668">
      <w:pPr>
        <w:tabs>
          <w:tab w:val="left" w:pos="540"/>
        </w:tabs>
        <w:jc w:val="center"/>
        <w:rPr>
          <w:rFonts w:ascii="GHEA Grapalat" w:hAnsi="GHEA Grapalat"/>
        </w:rPr>
      </w:pPr>
    </w:p>
    <w:p w:rsidR="00EB0668" w:rsidRPr="007A44C3" w:rsidRDefault="00EB0668" w:rsidP="00EB0668">
      <w:pPr>
        <w:tabs>
          <w:tab w:val="left" w:pos="540"/>
        </w:tabs>
        <w:jc w:val="center"/>
        <w:rPr>
          <w:rFonts w:ascii="GHEA Grapalat" w:hAnsi="GHEA Grapalat"/>
          <w:b/>
        </w:rPr>
      </w:pPr>
      <w:r w:rsidRPr="007A44C3">
        <w:rPr>
          <w:rFonts w:ascii="GHEA Grapalat" w:hAnsi="GHEA Grapalat"/>
          <w:b/>
        </w:rPr>
        <w:t>ՏԵՂԵԿԱՆՔ</w:t>
      </w:r>
    </w:p>
    <w:p w:rsidR="00EB0668" w:rsidRPr="007A44C3" w:rsidRDefault="00EB0668" w:rsidP="00EB0668">
      <w:pPr>
        <w:pStyle w:val="NormalWeb"/>
        <w:spacing w:before="0" w:beforeAutospacing="0" w:after="0" w:afterAutospacing="0"/>
        <w:jc w:val="center"/>
        <w:rPr>
          <w:rFonts w:ascii="GHEA Grapalat" w:eastAsiaTheme="minorHAnsi" w:hAnsi="GHEA Grapalat" w:cstheme="minorBidi"/>
          <w:b/>
          <w:sz w:val="22"/>
          <w:szCs w:val="22"/>
        </w:rPr>
      </w:pPr>
      <w:r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«ՀԱՅԱՍՏԱՆԻ ՀԱՆՐԱՊԵՏՈՒԹՅԱՆ ԿԱՌԱՎԱՐՈՒԹՅԱՆ 2011 ԹՎԱԿԱՆԻ ՀՈԿՏԵՄԲԵՐԻ 20-Ի  N 1510-Ն ՈՐՈՇՄԱՆ ՄԵՋ </w:t>
      </w:r>
      <w:r w:rsidR="00EF5F47" w:rsidRPr="007A44C3">
        <w:rPr>
          <w:rFonts w:ascii="GHEA Grapalat" w:eastAsiaTheme="minorHAnsi" w:hAnsi="GHEA Grapalat" w:cstheme="minorBidi"/>
          <w:b/>
          <w:sz w:val="22"/>
          <w:szCs w:val="22"/>
        </w:rPr>
        <w:t xml:space="preserve">ԼՐԱՑՈՒՄ ԵՎ </w:t>
      </w:r>
      <w:r w:rsidRPr="007A44C3">
        <w:rPr>
          <w:rFonts w:ascii="GHEA Grapalat" w:eastAsiaTheme="minorHAnsi" w:hAnsi="GHEA Grapalat" w:cstheme="minorBidi"/>
          <w:b/>
          <w:sz w:val="22"/>
          <w:szCs w:val="22"/>
        </w:rPr>
        <w:t>ՓՈՓՈԽՈՒԹՅՈՒՆ ԿԱՏԱՐԵԼՈՒ ՄԱՍԻՆ» ՀՀ ԿԱՌԱՎԱՐՈՒԹՅԱՆ ՈՐՈՇՄԱՆ ԸՆԴՈՒՆՄԱՆ ԿԱՊԱԿՑՈՒԹՅԱՄԲ ԱՅԼ ՆՈՐՄԱՏԻՎ ԻՐԱՎԱԿԱՆ ԱԿՏԵՐԻ ԸՆԴՈՒՆՄԱՆ ԱՆՀՐԱԺԵՇՏՈՒԹՅԱՆ ՄԱՍԻՆ</w:t>
      </w:r>
    </w:p>
    <w:p w:rsidR="00EB0668" w:rsidRPr="00EB0668" w:rsidRDefault="00EB0668" w:rsidP="00EB0668">
      <w:pPr>
        <w:jc w:val="center"/>
        <w:rPr>
          <w:rFonts w:ascii="GHEA Grapalat" w:hAnsi="GHEA Grapalat"/>
        </w:rPr>
      </w:pPr>
    </w:p>
    <w:p w:rsidR="000E55CC" w:rsidRPr="00351F19" w:rsidRDefault="00EB0668" w:rsidP="00824C14">
      <w:pPr>
        <w:ind w:firstLine="720"/>
        <w:jc w:val="both"/>
        <w:rPr>
          <w:rFonts w:ascii="GHEA Grapalat" w:hAnsi="GHEA Grapalat"/>
        </w:rPr>
      </w:pPr>
      <w:r w:rsidRPr="00EB0668">
        <w:rPr>
          <w:rFonts w:ascii="GHEA Grapalat" w:hAnsi="GHEA Grapalat"/>
        </w:rPr>
        <w:t>ՀՀ կառավարության որոշման ընդունմամբ այլ իրավական ակտերում փոփոխություններ կատարելու անհրաժեշտություն չկա:</w:t>
      </w:r>
    </w:p>
    <w:sectPr w:rsidR="000E55CC" w:rsidRPr="00351F19" w:rsidSect="00690E4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08C7"/>
    <w:multiLevelType w:val="hybridMultilevel"/>
    <w:tmpl w:val="B382F1C4"/>
    <w:lvl w:ilvl="0" w:tplc="C226B008">
      <w:start w:val="85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D7"/>
    <w:rsid w:val="000E55CC"/>
    <w:rsid w:val="0014258A"/>
    <w:rsid w:val="001E7628"/>
    <w:rsid w:val="002153ED"/>
    <w:rsid w:val="00261847"/>
    <w:rsid w:val="00294A9A"/>
    <w:rsid w:val="002A3B5D"/>
    <w:rsid w:val="002D369A"/>
    <w:rsid w:val="00304597"/>
    <w:rsid w:val="003070CA"/>
    <w:rsid w:val="003262E8"/>
    <w:rsid w:val="00351F19"/>
    <w:rsid w:val="003A177C"/>
    <w:rsid w:val="003B7A51"/>
    <w:rsid w:val="0046767B"/>
    <w:rsid w:val="004D5A4E"/>
    <w:rsid w:val="0055546B"/>
    <w:rsid w:val="005C5C96"/>
    <w:rsid w:val="00633A1F"/>
    <w:rsid w:val="006700C8"/>
    <w:rsid w:val="00690E41"/>
    <w:rsid w:val="0077436E"/>
    <w:rsid w:val="00781CEE"/>
    <w:rsid w:val="007A44C3"/>
    <w:rsid w:val="007C019E"/>
    <w:rsid w:val="00824C14"/>
    <w:rsid w:val="008630C4"/>
    <w:rsid w:val="0090780C"/>
    <w:rsid w:val="009A5CDC"/>
    <w:rsid w:val="00A56B77"/>
    <w:rsid w:val="00AB1F91"/>
    <w:rsid w:val="00B1629D"/>
    <w:rsid w:val="00BF51FA"/>
    <w:rsid w:val="00C025D3"/>
    <w:rsid w:val="00C473BC"/>
    <w:rsid w:val="00C67F72"/>
    <w:rsid w:val="00C72695"/>
    <w:rsid w:val="00CF2ED7"/>
    <w:rsid w:val="00DE68D3"/>
    <w:rsid w:val="00EB0668"/>
    <w:rsid w:val="00EF3C37"/>
    <w:rsid w:val="00EF5F47"/>
    <w:rsid w:val="00F9447B"/>
    <w:rsid w:val="00F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1E762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1E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473BC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55CC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0E55C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1E762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1E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5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473BC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55CC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0E55CC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Vardanyan</dc:creator>
  <cp:keywords/>
  <dc:description/>
  <cp:lastModifiedBy>Miqael Grigoryan</cp:lastModifiedBy>
  <cp:revision>31</cp:revision>
  <cp:lastPrinted>2016-01-26T08:47:00Z</cp:lastPrinted>
  <dcterms:created xsi:type="dcterms:W3CDTF">2016-01-11T14:06:00Z</dcterms:created>
  <dcterms:modified xsi:type="dcterms:W3CDTF">2016-01-26T08:48:00Z</dcterms:modified>
</cp:coreProperties>
</file>