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968" w:rsidRDefault="001E0968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9C1A66" w:rsidRDefault="009C1A66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  <w:r w:rsidRPr="00167C2D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242B26" w:rsidRPr="00167C2D" w:rsidRDefault="00242B26" w:rsidP="004254B7">
      <w:pPr>
        <w:tabs>
          <w:tab w:val="left" w:pos="190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9C1A66" w:rsidRDefault="00C74AB9" w:rsidP="00C74AB9">
      <w:pPr>
        <w:tabs>
          <w:tab w:val="left" w:pos="-90"/>
          <w:tab w:val="left" w:pos="90"/>
          <w:tab w:val="left" w:pos="45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ՔԱՂԱՔԱՑԻԱԿԱՆ ԾԱՌԱՅՈՒԹՅԱՆ ԽՈՐՀՐԴԻ ՄԱՍՆԱԿՑՈՒԹՅԱՄԲ </w:t>
      </w:r>
      <w:r w:rsidR="008D73AD">
        <w:rPr>
          <w:rFonts w:ascii="GHEA Grapalat" w:hAnsi="GHEA Grapalat"/>
          <w:b/>
          <w:bCs/>
          <w:sz w:val="24"/>
          <w:szCs w:val="24"/>
          <w:lang w:val="hy-AM"/>
        </w:rPr>
        <w:t xml:space="preserve">ԴԱՏԱԿԱՆ ԳՈՐԾԵՐՈՒՄ </w:t>
      </w: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ԴԱՏԱԿԱՆ ՆԵՐԿԱՅԱՑՈՒՑՉՈՒԹՅԱՆ ՀԱՐՑԵՐԸ ՍԱՀՄԱՆԵԼՈՒ ՄԱՍԻՆ» </w:t>
      </w:r>
      <w:r w:rsidR="007041F8" w:rsidRPr="00C74AB9">
        <w:rPr>
          <w:rFonts w:ascii="GHEA Grapalat" w:hAnsi="GHEA Grapalat"/>
          <w:b/>
          <w:sz w:val="24"/>
          <w:szCs w:val="24"/>
          <w:lang w:val="hy-AM"/>
        </w:rPr>
        <w:t>ՀՀ ԿԱՌԱՎԱՐՈՒԹՅԱՆ ՈՐՈՇՄԱՆ ՆԱԽԱԳԾԻ ԸՆԴՈՒՆՄԱՆ ԱՆՀՐԱԺԵՇՏՈՒԹՅԱՆ ՎԵՐԱԲԵՐՅԱԼ</w:t>
      </w:r>
    </w:p>
    <w:p w:rsidR="00242B26" w:rsidRPr="00C74AB9" w:rsidRDefault="00242B26" w:rsidP="00C74AB9">
      <w:pPr>
        <w:tabs>
          <w:tab w:val="left" w:pos="-90"/>
          <w:tab w:val="left" w:pos="90"/>
          <w:tab w:val="left" w:pos="45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526" w:type="dxa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853"/>
      </w:tblGrid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 w:rsidRPr="00167C2D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9C1A66" w:rsidRPr="00810D7C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FC8" w:rsidRPr="00167C2D" w:rsidRDefault="003642A1" w:rsidP="00CC6D47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="00810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քաղաքացիական ծառայության խորհրդի մասնակցությամբ </w:t>
            </w:r>
            <w:r w:rsidR="008D73A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դատական գործերում </w:t>
            </w:r>
            <w:r w:rsidR="00810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դատական ներկայացուցչության հարցերը սահմանելու մասին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» </w:t>
            </w:r>
            <w:r w:rsidR="002769C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կառավարության որոշման նախագիծը մշակվել է </w:t>
            </w:r>
            <w:r w:rsidR="00810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«Քաղաքացիական ծառայության մասին» օրենքի 47-րդ հոդվածի 22-րդ մասով 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նախատեսված</w:t>
            </w:r>
            <w:r w:rsid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810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դրույթի կիրարկումն ապահովելու </w:t>
            </w:r>
            <w:r w:rsidR="00D06B0C" w:rsidRPr="00D06B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810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համար</w:t>
            </w:r>
          </w:p>
        </w:tc>
      </w:tr>
      <w:tr w:rsidR="009C1A66" w:rsidRPr="00167C2D" w:rsidTr="00810D7C">
        <w:trPr>
          <w:trHeight w:val="5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810D7C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9C1A66" w:rsidRPr="00167C2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232350" w:rsidRDefault="0024013E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Կարգավորման նպատակը</w:t>
            </w:r>
            <w:r w:rsidR="0023235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և բնույթը</w:t>
            </w:r>
          </w:p>
        </w:tc>
      </w:tr>
      <w:tr w:rsidR="009C1A66" w:rsidRPr="00635272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50" w:rsidRDefault="00EB4494" w:rsidP="00F951A6">
            <w:pPr>
              <w:pStyle w:val="norm"/>
              <w:tabs>
                <w:tab w:val="left" w:pos="363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 w:rsidR="00242B26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վի առնելով, որ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Հայաստանի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տու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ք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աղաքացիական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խ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որհրդի </w:t>
            </w:r>
            <w:r w:rsidR="000F7BD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գործունեության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դադարումից հետո իրավահաջորդություն չի նախատեսվել, </w:t>
            </w:r>
            <w:r w:rsidR="002E3B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ինչպես նաև այն, որ օրենսդրությամբ </w:t>
            </w:r>
            <w:r w:rsidR="00C0721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կարգավորված չէ</w:t>
            </w:r>
            <w:r w:rsidR="002E3B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, թե մարմնի դադարումից հետո դատական գործընթացներում ներգրավված մարմնի ներկայացու</w:t>
            </w:r>
            <w:r w:rsidR="00C0721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ցչությունը ինչպես է իրականացվելու</w:t>
            </w:r>
            <w:r w:rsidR="002E3B4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ուստի կառավարության որոշման </w:t>
            </w:r>
            <w:r w:rsidR="00F951A6"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նպատակն է </w:t>
            </w:r>
            <w:r w:rsidR="00EA794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կարգավորել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տու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="00F951A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ք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աղաքացիական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>
              <w:rPr>
                <w:rFonts w:ascii="GHEA Grapalat" w:hAnsi="GHEA Grapalat" w:cs="Times Armenian"/>
                <w:sz w:val="24"/>
                <w:szCs w:val="24"/>
                <w:lang w:val="hy-AM"/>
              </w:rPr>
              <w:t>խ</w:t>
            </w:r>
            <w:r w:rsidR="00F951A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որհրդի գործունեության դադարումից</w:t>
            </w:r>
            <w:r w:rsidR="00F951A6" w:rsidRPr="00EB4494">
              <w:rPr>
                <w:rFonts w:ascii="GHEA Grapalat" w:hAnsi="GHEA Grapalat"/>
                <w:bCs/>
                <w:sz w:val="24"/>
                <w:szCs w:val="24"/>
                <w:lang w:val="af-ZA"/>
              </w:rPr>
              <w:t xml:space="preserve"> </w:t>
            </w:r>
            <w:r w:rsidR="00F951A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հետո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տու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 w:rsidR="00F951A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ք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աղաքացիական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="00F951A6"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F951A6">
              <w:rPr>
                <w:rFonts w:ascii="GHEA Grapalat" w:hAnsi="GHEA Grapalat" w:cs="Times Armenian"/>
                <w:sz w:val="24"/>
                <w:szCs w:val="24"/>
                <w:lang w:val="hy-AM"/>
              </w:rPr>
              <w:t>խ</w:t>
            </w:r>
            <w:r w:rsidR="00F951A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որհրդի մասնակցությամբ դատական </w:t>
            </w:r>
            <w:r w:rsidR="00F951A6" w:rsidRPr="00EB1A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գործերում</w:t>
            </w:r>
            <w:r w:rsidR="002E783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ներկայացուցչության հարցերը, </w:t>
            </w:r>
            <w:r w:rsidR="002E3B42">
              <w:rPr>
                <w:rFonts w:ascii="GHEA Grapalat" w:hAnsi="GHEA Grapalat"/>
                <w:sz w:val="24"/>
                <w:szCs w:val="24"/>
                <w:lang w:val="hy-AM"/>
              </w:rPr>
              <w:t>ինչպես նաև</w:t>
            </w:r>
            <w:r w:rsidR="001054A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54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«Քաղաքացիական ծառայության մասին» օրենքի</w:t>
            </w:r>
            <w:r w:rsidR="002E3B4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054A1">
              <w:rPr>
                <w:rFonts w:ascii="GHEA Grapalat" w:hAnsi="GHEA Grapalat"/>
                <w:sz w:val="24"/>
                <w:szCs w:val="24"/>
                <w:lang w:val="hy-AM"/>
              </w:rPr>
              <w:t xml:space="preserve">2-րդ հոդվածի 1-ին մասով նախատեսված </w:t>
            </w:r>
            <w:r w:rsidR="002E783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մարմինների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E783F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ներկայացուցչության  հարցերը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որոնք որևէ առնչություն ունեն 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տու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softHyphen/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թյան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ք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աղաքացիական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Pr="004D334A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4D334A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խ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որհրդի մասնակցությամբ դատական </w:t>
            </w:r>
            <w:r w:rsidRPr="00EB1AF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գործերում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:</w:t>
            </w:r>
          </w:p>
          <w:p w:rsidR="00321B82" w:rsidRPr="00167C2D" w:rsidRDefault="00F951A6" w:rsidP="00F951A6">
            <w:pPr>
              <w:pStyle w:val="norm"/>
              <w:tabs>
                <w:tab w:val="left" w:pos="363"/>
              </w:tabs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10D7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9C1A66" w:rsidRPr="00167C2D" w:rsidTr="00321B82">
        <w:trPr>
          <w:trHeight w:val="52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2E3B42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9C1A66" w:rsidRPr="00167C2D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Նախագծի մշակման գործընթացում ներգրավված ինստիտուտները և ան</w:t>
            </w:r>
            <w:r w:rsidRPr="00167C2D">
              <w:rPr>
                <w:rFonts w:ascii="GHEA Grapalat" w:hAnsi="GHEA Grapalat"/>
                <w:b/>
                <w:sz w:val="24"/>
                <w:szCs w:val="24"/>
              </w:rPr>
              <w:softHyphen/>
              <w:t>ձի</w:t>
            </w:r>
            <w:r w:rsidR="00A2289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Pr="00167C2D">
              <w:rPr>
                <w:rFonts w:ascii="GHEA Grapalat" w:hAnsi="GHEA Grapalat"/>
                <w:b/>
                <w:sz w:val="24"/>
                <w:szCs w:val="24"/>
              </w:rPr>
              <w:t>ք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A2289C" w:rsidRDefault="0035234E" w:rsidP="00A2289C">
            <w:pPr>
              <w:tabs>
                <w:tab w:val="left" w:pos="993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67C2D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9C1A66" w:rsidRPr="00167C2D">
              <w:rPr>
                <w:rFonts w:ascii="GHEA Grapalat" w:hAnsi="GHEA Grapalat"/>
                <w:sz w:val="24"/>
                <w:szCs w:val="24"/>
                <w:lang w:val="af-ZA"/>
              </w:rPr>
              <w:t xml:space="preserve">րոշման նախագիծը մշակվել է </w:t>
            </w:r>
            <w:r w:rsidR="00A2289C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կողմից 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2E3B42" w:rsidP="002E3B42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b/>
                <w:sz w:val="24"/>
                <w:szCs w:val="24"/>
              </w:rPr>
            </w:pPr>
            <w:r w:rsidRPr="00167C2D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9C1A66" w:rsidRPr="00167C2D" w:rsidTr="00D23124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9C1A66" w:rsidP="004254B7">
            <w:pPr>
              <w:tabs>
                <w:tab w:val="left" w:pos="1440"/>
              </w:tabs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A66" w:rsidRPr="00167C2D" w:rsidRDefault="00A2289C" w:rsidP="00A2289C">
            <w:pPr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A79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Ապահովել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Քաղաքացիական ծառայության մասին» օրենքի 47-րդ հոդվածի 22-րդ մասով </w:t>
            </w:r>
            <w:r w:rsidRPr="003642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նախատեսված</w:t>
            </w:r>
            <w:r w:rsidR="000F7BD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համապատասխան մարմինների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դատական ներկայացուցչությունը </w:t>
            </w:r>
          </w:p>
        </w:tc>
      </w:tr>
    </w:tbl>
    <w:p w:rsidR="00A07E80" w:rsidRPr="00167C2D" w:rsidRDefault="00A07E80" w:rsidP="004254B7">
      <w:pPr>
        <w:rPr>
          <w:rFonts w:ascii="GHEA Grapalat" w:hAnsi="GHEA Grapalat"/>
          <w:sz w:val="24"/>
          <w:szCs w:val="24"/>
        </w:rPr>
      </w:pPr>
    </w:p>
    <w:p w:rsidR="00A70597" w:rsidRPr="00167C2D" w:rsidRDefault="00A70597" w:rsidP="004254B7">
      <w:pPr>
        <w:rPr>
          <w:rFonts w:ascii="GHEA Grapalat" w:hAnsi="GHEA Grapalat"/>
          <w:sz w:val="24"/>
          <w:szCs w:val="24"/>
        </w:rPr>
      </w:pPr>
    </w:p>
    <w:p w:rsidR="00A70597" w:rsidRPr="00B67574" w:rsidRDefault="00A70597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67C2D" w:rsidRDefault="00167C2D" w:rsidP="004254B7">
      <w:pPr>
        <w:rPr>
          <w:rFonts w:ascii="GHEA Grapalat" w:hAnsi="GHEA Grapalat"/>
        </w:rPr>
      </w:pPr>
    </w:p>
    <w:p w:rsidR="001E0968" w:rsidRDefault="001E0968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E0968" w:rsidRDefault="001E0968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E0968" w:rsidRDefault="001E0968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E0968" w:rsidRPr="002348AF" w:rsidRDefault="001E0968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FF1642" w:rsidRDefault="002E3B42" w:rsidP="002E3B42">
      <w:pPr>
        <w:tabs>
          <w:tab w:val="left" w:pos="-90"/>
          <w:tab w:val="left" w:pos="90"/>
          <w:tab w:val="left" w:pos="45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ՔԱՂԱՔԱՑԻԱԿԱՆ ԾԱՌԱՅՈՒԹՅԱՆ ԽՈՐՀՐԴԻ ՄԱՍՆԱԿՑՈՒԹՅԱՄԲ</w:t>
      </w:r>
      <w:r w:rsidR="008D73AD">
        <w:rPr>
          <w:rFonts w:ascii="GHEA Grapalat" w:hAnsi="GHEA Grapalat"/>
          <w:b/>
          <w:bCs/>
          <w:sz w:val="24"/>
          <w:szCs w:val="24"/>
          <w:lang w:val="hy-AM"/>
        </w:rPr>
        <w:t xml:space="preserve"> ԴԱՏԱԿԱՆ ԳՈՐԾԵՐՈՒՄ</w:t>
      </w: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 ԴԱՏԱԿԱՆ ՆԵՐԿԱՅԱՑՈՒՑՉՈՒԹՅԱՆ ՀԱՐՑԵՐԸ ՍԱՀՄԱՆԵԼՈՒ ՄԱՍԻՆ» </w:t>
      </w:r>
      <w:r w:rsidRPr="00C74AB9">
        <w:rPr>
          <w:rFonts w:ascii="GHEA Grapalat" w:hAnsi="GHEA Grapalat"/>
          <w:b/>
          <w:sz w:val="24"/>
          <w:szCs w:val="24"/>
          <w:lang w:val="hy-AM"/>
        </w:rPr>
        <w:t>ՀՀ ԿԱՌԱՎԱՐՈ</w:t>
      </w:r>
      <w:r>
        <w:rPr>
          <w:rFonts w:ascii="GHEA Grapalat" w:hAnsi="GHEA Grapalat"/>
          <w:b/>
          <w:sz w:val="24"/>
          <w:szCs w:val="24"/>
          <w:lang w:val="hy-AM"/>
        </w:rPr>
        <w:t>ՒԹՅԱՆ ՈՐՈՇՄԱՆ ՆԱԽԱԳԾԻ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67C2D" w:rsidRPr="00FF1642">
        <w:rPr>
          <w:rFonts w:ascii="GHEA Grapalat" w:hAnsi="GHEA Grapalat" w:cs="Arial"/>
          <w:b/>
          <w:sz w:val="24"/>
          <w:szCs w:val="24"/>
          <w:lang w:val="hy-AM"/>
        </w:rPr>
        <w:t>ԸՆԴՈՒՆՄԱՄԲ ԱՅԼ ԻՐԱՎԱԿԱՆ ԱԿՏԵՐԻ ԸՆԴՈՒՆՄԱՆ ԱՆՀՐԱԺԵՇՏՈՒԹՅԱՆ ԿԱՄ ԲԱՑԱԿԱՅՈՒԹՅԱՆ ՄԱՍԻՆ</w:t>
      </w:r>
    </w:p>
    <w:p w:rsidR="00167C2D" w:rsidRPr="002348AF" w:rsidRDefault="00167C2D" w:rsidP="00167C2D">
      <w:pPr>
        <w:pStyle w:val="norm"/>
        <w:tabs>
          <w:tab w:val="left" w:pos="360"/>
        </w:tabs>
        <w:spacing w:line="240" w:lineRule="auto"/>
        <w:ind w:left="-357" w:right="85" w:firstLine="0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2E3B42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քաղաքացիական ծառայության խորհրդի մասնակցությամբ</w:t>
      </w:r>
      <w:r w:rsidR="008D73AD">
        <w:rPr>
          <w:rFonts w:ascii="GHEA Grapalat" w:hAnsi="GHEA Grapalat"/>
          <w:color w:val="000000"/>
          <w:sz w:val="24"/>
          <w:szCs w:val="24"/>
          <w:lang w:val="hy-AM"/>
        </w:rPr>
        <w:t xml:space="preserve"> դատական գործերում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դատական ներկայացուցչության հարցերը սահմանելու մասին</w:t>
      </w:r>
      <w:r w:rsidRPr="003642A1">
        <w:rPr>
          <w:rFonts w:ascii="GHEA Grapalat" w:hAnsi="GHEA Grapalat"/>
          <w:color w:val="000000"/>
          <w:sz w:val="24"/>
          <w:szCs w:val="24"/>
          <w:lang w:val="hy-AM"/>
        </w:rPr>
        <w:t>» Հ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 կառավարության որոշման նախագիծի ընդունմամբ այլ իրավական ակտ ընդունելու անհրաժեշտություն չկա: </w:t>
      </w:r>
    </w:p>
    <w:p w:rsidR="002E3B42" w:rsidRDefault="002E3B42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2E3B42" w:rsidRDefault="002E3B42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Default="00167C2D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48AF">
        <w:rPr>
          <w:rFonts w:ascii="GHEA Grapalat" w:hAnsi="GHEA Grapalat" w:cs="Arial"/>
          <w:b/>
          <w:sz w:val="24"/>
          <w:szCs w:val="24"/>
          <w:lang w:val="hy-AM"/>
        </w:rPr>
        <w:t>ՏԵՂԵԿԱՆՔ</w:t>
      </w:r>
    </w:p>
    <w:p w:rsidR="001E0968" w:rsidRPr="002348AF" w:rsidRDefault="001E0968" w:rsidP="00167C2D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FF1642" w:rsidRDefault="002E3B42" w:rsidP="00167C2D">
      <w:pPr>
        <w:tabs>
          <w:tab w:val="left" w:pos="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ՔԱՂԱՔԱՑԻԱԿԱՆ ԾԱՌԱՅՈՒԹՅԱՆ ԽՈՐՀՐԴԻ ՄԱՍՆԱԿՑՈՒԹՅԱՄԲ </w:t>
      </w:r>
      <w:r w:rsidR="008D73AD">
        <w:rPr>
          <w:rFonts w:ascii="GHEA Grapalat" w:hAnsi="GHEA Grapalat"/>
          <w:b/>
          <w:bCs/>
          <w:sz w:val="24"/>
          <w:szCs w:val="24"/>
          <w:lang w:val="hy-AM"/>
        </w:rPr>
        <w:t>ԴԱՏԱԿԱՆ ԳՈՐԾԵՐՈՒՄ</w:t>
      </w:r>
      <w:r w:rsidR="008D73AD"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74AB9">
        <w:rPr>
          <w:rFonts w:ascii="GHEA Grapalat" w:hAnsi="GHEA Grapalat"/>
          <w:b/>
          <w:bCs/>
          <w:sz w:val="24"/>
          <w:szCs w:val="24"/>
          <w:lang w:val="hy-AM"/>
        </w:rPr>
        <w:t xml:space="preserve">ԴԱՏԱԿԱՆ ՆԵՐԿԱՅԱՑՈՒՑՉՈՒԹՅԱՆ ՀԱՐՑԵՐԸ ՍԱՀՄԱՆԵԼՈՒ ՄԱՍԻՆ» </w:t>
      </w:r>
      <w:r w:rsidRPr="00C74AB9">
        <w:rPr>
          <w:rFonts w:ascii="GHEA Grapalat" w:hAnsi="GHEA Grapalat"/>
          <w:b/>
          <w:sz w:val="24"/>
          <w:szCs w:val="24"/>
          <w:lang w:val="hy-AM"/>
        </w:rPr>
        <w:t>ՀՀ ԿԱՌԱՎԱՐՈ</w:t>
      </w:r>
      <w:r>
        <w:rPr>
          <w:rFonts w:ascii="GHEA Grapalat" w:hAnsi="GHEA Grapalat"/>
          <w:b/>
          <w:sz w:val="24"/>
          <w:szCs w:val="24"/>
          <w:lang w:val="hy-AM"/>
        </w:rPr>
        <w:t>ՒԹՅԱՆ ՈՐՈՇՄԱՆ ՆԱԽԱԳԾԻ</w:t>
      </w:r>
      <w:r w:rsidRPr="00FF164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F1642">
        <w:rPr>
          <w:rFonts w:ascii="GHEA Grapalat" w:hAnsi="GHEA Grapalat" w:cs="Arial"/>
          <w:b/>
          <w:sz w:val="24"/>
          <w:szCs w:val="24"/>
          <w:lang w:val="hy-AM"/>
        </w:rPr>
        <w:t xml:space="preserve">ԸՆԴՈՒՆՄԱՄԲ </w:t>
      </w:r>
      <w:r w:rsidR="00167C2D" w:rsidRPr="00FF164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ՊԵՏԱԿԱՆ ԿԱՄ ՏԵՂԱԿԱՆ ԻՆՔՆԱԿԱՌԱՎԱՐՄԱՆ ՄԱՐՄՆԻ ԲՅՈՒՋԵՈՒՄ ԾԱԽՍԵՐԻ ԵՎ ԵԿԱՄՈՒՏՆԵՐԻ ԷԱԿԱՆ ԱՎԵԼԱՑՄԱՆ ԿԱՄ ՆՎԱԶՄԱՆ ՄԱՍԻՆ</w:t>
      </w:r>
    </w:p>
    <w:p w:rsidR="00167C2D" w:rsidRPr="002348AF" w:rsidRDefault="00167C2D" w:rsidP="00167C2D">
      <w:pPr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67C2D" w:rsidRPr="002348AF" w:rsidRDefault="00167C2D" w:rsidP="00167C2D">
      <w:pPr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2348AF">
        <w:rPr>
          <w:rFonts w:ascii="GHEA Grapalat" w:hAnsi="GHEA Grapalat" w:cs="Arial"/>
          <w:sz w:val="24"/>
          <w:szCs w:val="24"/>
          <w:lang w:val="hy-AM"/>
        </w:rPr>
        <w:tab/>
      </w:r>
      <w:r w:rsidR="002E3B4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քաղաքացիական ծառայության խորհրդի մասնակցությամբ </w:t>
      </w:r>
      <w:r w:rsidR="008D73AD">
        <w:rPr>
          <w:rFonts w:ascii="GHEA Grapalat" w:hAnsi="GHEA Grapalat"/>
          <w:color w:val="000000"/>
          <w:sz w:val="24"/>
          <w:szCs w:val="24"/>
          <w:lang w:val="hy-AM"/>
        </w:rPr>
        <w:t xml:space="preserve">դատական գործերում </w:t>
      </w:r>
      <w:r w:rsidR="002E3B42">
        <w:rPr>
          <w:rFonts w:ascii="GHEA Grapalat" w:hAnsi="GHEA Grapalat"/>
          <w:color w:val="000000"/>
          <w:sz w:val="24"/>
          <w:szCs w:val="24"/>
          <w:lang w:val="hy-AM"/>
        </w:rPr>
        <w:t>դատական ներկայացուցչության հարցերը սահմանելու մասին</w:t>
      </w:r>
      <w:r w:rsidR="002E3B42" w:rsidRPr="003642A1">
        <w:rPr>
          <w:rFonts w:ascii="GHEA Grapalat" w:hAnsi="GHEA Grapalat"/>
          <w:color w:val="000000"/>
          <w:sz w:val="24"/>
          <w:szCs w:val="24"/>
          <w:lang w:val="hy-AM"/>
        </w:rPr>
        <w:t>» Հ</w:t>
      </w:r>
      <w:r w:rsidR="002E3B42">
        <w:rPr>
          <w:rFonts w:ascii="GHEA Grapalat" w:hAnsi="GHEA Grapalat"/>
          <w:color w:val="000000"/>
          <w:sz w:val="24"/>
          <w:szCs w:val="24"/>
          <w:lang w:val="hy-AM"/>
        </w:rPr>
        <w:t xml:space="preserve">Հ կառավարության որոշման </w:t>
      </w:r>
      <w:r w:rsidRPr="002348AF">
        <w:rPr>
          <w:rFonts w:ascii="GHEA Grapalat" w:hAnsi="GHEA Grapalat" w:cs="Arial"/>
          <w:sz w:val="24"/>
          <w:szCs w:val="24"/>
          <w:lang w:val="hy-AM"/>
        </w:rPr>
        <w:t>նախագծի ընդունմամբ պետական կամ տեղական ինքնակառավարման մարմնի բյուջեում ծախսերի և եկամուտների էական ավելացում կամ նվազեցում չի նախատեսվում:</w:t>
      </w:r>
    </w:p>
    <w:p w:rsidR="00167C2D" w:rsidRPr="002348AF" w:rsidRDefault="00167C2D" w:rsidP="00167C2D">
      <w:pPr>
        <w:pStyle w:val="NormalWeb"/>
        <w:tabs>
          <w:tab w:val="left" w:pos="0"/>
        </w:tabs>
        <w:ind w:firstLine="426"/>
        <w:jc w:val="both"/>
        <w:rPr>
          <w:rFonts w:ascii="GHEA Grapalat" w:hAnsi="GHEA Grapalat"/>
          <w:color w:val="000000"/>
          <w:lang w:val="fi-FI"/>
        </w:rPr>
      </w:pPr>
    </w:p>
    <w:p w:rsidR="00167C2D" w:rsidRPr="002348AF" w:rsidRDefault="00167C2D" w:rsidP="00167C2D">
      <w:pPr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ind w:firstLine="284"/>
        <w:jc w:val="both"/>
        <w:rPr>
          <w:rFonts w:ascii="GHEA Grapalat" w:hAnsi="GHEA Grapalat"/>
          <w:sz w:val="24"/>
          <w:szCs w:val="24"/>
          <w:lang w:val="fi-FI"/>
        </w:rPr>
      </w:pPr>
    </w:p>
    <w:p w:rsidR="00167C2D" w:rsidRPr="002348AF" w:rsidRDefault="00167C2D" w:rsidP="00167C2D">
      <w:pPr>
        <w:rPr>
          <w:rFonts w:ascii="GHEA Grapalat" w:hAnsi="GHEA Grapalat"/>
          <w:sz w:val="24"/>
          <w:szCs w:val="24"/>
          <w:lang w:val="fi-FI"/>
        </w:rPr>
      </w:pPr>
    </w:p>
    <w:p w:rsidR="00167C2D" w:rsidRPr="00167C2D" w:rsidRDefault="00167C2D" w:rsidP="004254B7">
      <w:pPr>
        <w:rPr>
          <w:rFonts w:ascii="GHEA Grapalat" w:hAnsi="GHEA Grapalat"/>
          <w:lang w:val="fi-FI"/>
        </w:rPr>
      </w:pPr>
      <w:bookmarkStart w:id="0" w:name="_GoBack"/>
      <w:bookmarkEnd w:id="0"/>
    </w:p>
    <w:sectPr w:rsidR="00167C2D" w:rsidRPr="00167C2D" w:rsidSect="0097145F">
      <w:pgSz w:w="12240" w:h="15840"/>
      <w:pgMar w:top="810" w:right="90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3B" w:rsidRDefault="00F6493B" w:rsidP="002F3114">
      <w:r>
        <w:separator/>
      </w:r>
    </w:p>
  </w:endnote>
  <w:endnote w:type="continuationSeparator" w:id="0">
    <w:p w:rsidR="00F6493B" w:rsidRDefault="00F6493B" w:rsidP="002F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3B" w:rsidRDefault="00F6493B" w:rsidP="002F3114">
      <w:r>
        <w:separator/>
      </w:r>
    </w:p>
  </w:footnote>
  <w:footnote w:type="continuationSeparator" w:id="0">
    <w:p w:rsidR="00F6493B" w:rsidRDefault="00F6493B" w:rsidP="002F3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982"/>
    <w:multiLevelType w:val="hybridMultilevel"/>
    <w:tmpl w:val="0850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C1AD4"/>
    <w:multiLevelType w:val="hybridMultilevel"/>
    <w:tmpl w:val="E5AA3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66"/>
    <w:rsid w:val="000A66D7"/>
    <w:rsid w:val="000F7BDF"/>
    <w:rsid w:val="001054A1"/>
    <w:rsid w:val="00111AA1"/>
    <w:rsid w:val="0012234D"/>
    <w:rsid w:val="0014207B"/>
    <w:rsid w:val="00151A98"/>
    <w:rsid w:val="00167C2D"/>
    <w:rsid w:val="00183E12"/>
    <w:rsid w:val="001E0968"/>
    <w:rsid w:val="00232350"/>
    <w:rsid w:val="0024013E"/>
    <w:rsid w:val="002422E9"/>
    <w:rsid w:val="00242B26"/>
    <w:rsid w:val="002769CA"/>
    <w:rsid w:val="00276CBD"/>
    <w:rsid w:val="002E3B42"/>
    <w:rsid w:val="002E783F"/>
    <w:rsid w:val="002F3114"/>
    <w:rsid w:val="00321B82"/>
    <w:rsid w:val="00322331"/>
    <w:rsid w:val="00340CFF"/>
    <w:rsid w:val="00351336"/>
    <w:rsid w:val="0035234E"/>
    <w:rsid w:val="003551E3"/>
    <w:rsid w:val="003642A1"/>
    <w:rsid w:val="00367A43"/>
    <w:rsid w:val="003A54F6"/>
    <w:rsid w:val="003F1D77"/>
    <w:rsid w:val="004254B7"/>
    <w:rsid w:val="0049060C"/>
    <w:rsid w:val="004A20C0"/>
    <w:rsid w:val="004C6954"/>
    <w:rsid w:val="004E5CAA"/>
    <w:rsid w:val="0052063D"/>
    <w:rsid w:val="00595AC2"/>
    <w:rsid w:val="005A4FC8"/>
    <w:rsid w:val="00635272"/>
    <w:rsid w:val="00663372"/>
    <w:rsid w:val="007041F8"/>
    <w:rsid w:val="00757092"/>
    <w:rsid w:val="0079490F"/>
    <w:rsid w:val="007B628C"/>
    <w:rsid w:val="00810D7C"/>
    <w:rsid w:val="0082752C"/>
    <w:rsid w:val="0083253A"/>
    <w:rsid w:val="008D73AD"/>
    <w:rsid w:val="008E3519"/>
    <w:rsid w:val="00965DE2"/>
    <w:rsid w:val="0097145F"/>
    <w:rsid w:val="009B40F0"/>
    <w:rsid w:val="009C1A66"/>
    <w:rsid w:val="00A07E80"/>
    <w:rsid w:val="00A2289C"/>
    <w:rsid w:val="00A546EF"/>
    <w:rsid w:val="00A70597"/>
    <w:rsid w:val="00A82A69"/>
    <w:rsid w:val="00AF1901"/>
    <w:rsid w:val="00AF4BEF"/>
    <w:rsid w:val="00B26733"/>
    <w:rsid w:val="00B461F4"/>
    <w:rsid w:val="00B67574"/>
    <w:rsid w:val="00B82C6F"/>
    <w:rsid w:val="00BE1BE4"/>
    <w:rsid w:val="00C07212"/>
    <w:rsid w:val="00C74AB9"/>
    <w:rsid w:val="00CC6D47"/>
    <w:rsid w:val="00CE3351"/>
    <w:rsid w:val="00D06B0C"/>
    <w:rsid w:val="00D7153B"/>
    <w:rsid w:val="00D862B2"/>
    <w:rsid w:val="00D91F0C"/>
    <w:rsid w:val="00E34548"/>
    <w:rsid w:val="00E43413"/>
    <w:rsid w:val="00EA78F1"/>
    <w:rsid w:val="00EA7949"/>
    <w:rsid w:val="00EB4494"/>
    <w:rsid w:val="00F6493B"/>
    <w:rsid w:val="00F7797B"/>
    <w:rsid w:val="00F951A6"/>
    <w:rsid w:val="00FB0CF9"/>
    <w:rsid w:val="00FE44E1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1E18"/>
  <w15:docId w15:val="{9212D619-B498-4B18-A097-539EAAA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9C1A6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9C1A6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rsid w:val="009C1A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9C1A66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link w:val="NoSpacing"/>
    <w:uiPriority w:val="99"/>
    <w:rsid w:val="009C1A66"/>
    <w:rPr>
      <w:rFonts w:ascii="Calibri" w:eastAsia="Times New Roman" w:hAnsi="Calibri" w:cs="Times New Roman"/>
      <w:lang w:eastAsia="ja-JP"/>
    </w:rPr>
  </w:style>
  <w:style w:type="paragraph" w:styleId="FootnoteText">
    <w:name w:val="footnote text"/>
    <w:aliases w:val="single space,footnote text,fn,FOOTNOTES,Footnote Text Char1,Footnote Text Char Char,Footnote,Voetnoottekst Char,Voetnoottekst Char1,Voetnoottekst Char2 Char Char,Voetnoottekst Char Char1 Char Char,Voetnoottekst Char1 Char Char Char Char,AD"/>
    <w:link w:val="FootnoteTextChar"/>
    <w:uiPriority w:val="99"/>
    <w:rsid w:val="002F3114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customStyle="1" w:styleId="FootnoteTextChar">
    <w:name w:val="Footnote Text Char"/>
    <w:aliases w:val="single space Char,footnote text Char,fn Char,FOOTNOTES Char,Footnote Text Char1 Char,Footnote Text Char Char Char,Footnote Char,Voetnoottekst Char Char,Voetnoottekst Char1 Char,Voetnoottekst Char2 Char Char Char,AD Char"/>
    <w:basedOn w:val="DefaultParagraphFont"/>
    <w:link w:val="FootnoteText"/>
    <w:uiPriority w:val="99"/>
    <w:rsid w:val="002F3114"/>
    <w:rPr>
      <w:rFonts w:ascii="Arial" w:eastAsia="Arial" w:hAnsi="Arial" w:cs="Arial"/>
      <w:color w:val="000000"/>
      <w:sz w:val="20"/>
      <w:szCs w:val="20"/>
      <w:u w:color="000000"/>
      <w:bdr w:val="nil"/>
      <w:lang w:eastAsia="en-GB"/>
    </w:rPr>
  </w:style>
  <w:style w:type="character" w:styleId="FootnoteReference">
    <w:name w:val="footnote reference"/>
    <w:aliases w:val="Char Char,Footnote symbol,note TESI,Footnote reference number,ftref"/>
    <w:uiPriority w:val="99"/>
    <w:unhideWhenUsed/>
    <w:rsid w:val="002F311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B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7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D06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https://mul.gov.am/tasks/docs/attachment.php?id=469051&amp;fn=3himnavorum_texekanqner_pashtonatox_naxagah.docx&amp;out=1&amp;token=d399ddfd993b34d2989c</cp:keywords>
</cp:coreProperties>
</file>