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D81" w:rsidRPr="009B43B6" w:rsidRDefault="00B13D81" w:rsidP="00B13D81">
      <w:pPr>
        <w:rPr>
          <w:rFonts w:ascii="GHEA Grapalat" w:hAnsi="GHEA Grapalat"/>
          <w:lang w:val="en-US"/>
        </w:rPr>
      </w:pPr>
    </w:p>
    <w:p w:rsidR="00B13D81" w:rsidRPr="009B43B6" w:rsidRDefault="00B13D81" w:rsidP="00B13D81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9B43B6">
        <w:rPr>
          <w:rFonts w:ascii="GHEA Grapalat" w:hAnsi="GHEA Grapalat"/>
          <w:b/>
          <w:sz w:val="22"/>
          <w:szCs w:val="22"/>
        </w:rPr>
        <w:t>ԱՄՓՈՓԱԹԵՐԹ</w:t>
      </w:r>
    </w:p>
    <w:p w:rsidR="00B13D81" w:rsidRPr="009B43B6" w:rsidRDefault="00B13D81" w:rsidP="00B13D81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B13D81" w:rsidRPr="009B43B6" w:rsidRDefault="00B13D81" w:rsidP="00B13D81">
      <w:pPr>
        <w:jc w:val="center"/>
        <w:rPr>
          <w:rFonts w:ascii="GHEA Grapalat" w:hAnsi="GHEA Grapalat"/>
          <w:lang w:val="hy-AM"/>
        </w:rPr>
      </w:pPr>
      <w:r w:rsidRPr="009B43B6">
        <w:rPr>
          <w:rFonts w:ascii="GHEA Grapalat" w:hAnsi="GHEA Grapalat"/>
          <w:lang w:val="hy-AM"/>
        </w:rPr>
        <w:t>«Նոտարիատի համակարգի զարգացման հայեցակարգին հավանություն տալու մասին» Հայաստանի Հանրապետության կառավարության որոշման նախագծի վերաբերյալ</w:t>
      </w:r>
    </w:p>
    <w:p w:rsidR="00B13D81" w:rsidRPr="009B43B6" w:rsidRDefault="00B13D81" w:rsidP="00B13D81">
      <w:pPr>
        <w:rPr>
          <w:rFonts w:ascii="GHEA Grapalat" w:hAnsi="GHEA Grapalat"/>
          <w:lang w:val="af-ZA"/>
        </w:rPr>
      </w:pPr>
    </w:p>
    <w:p w:rsidR="00B13D81" w:rsidRPr="009B43B6" w:rsidRDefault="00B13D81" w:rsidP="00B13D81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620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160"/>
        <w:gridCol w:w="3690"/>
        <w:gridCol w:w="3870"/>
        <w:gridCol w:w="3240"/>
        <w:gridCol w:w="2520"/>
      </w:tblGrid>
      <w:tr w:rsidR="00B13D81" w:rsidRPr="009B43B6" w:rsidTr="00617ED3">
        <w:trPr>
          <w:trHeight w:val="56"/>
        </w:trPr>
        <w:tc>
          <w:tcPr>
            <w:tcW w:w="720" w:type="dxa"/>
          </w:tcPr>
          <w:p w:rsidR="00B13D81" w:rsidRPr="009B43B6" w:rsidRDefault="00B13D81" w:rsidP="00145E7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9B43B6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2160" w:type="dxa"/>
          </w:tcPr>
          <w:p w:rsidR="00B13D81" w:rsidRPr="009B43B6" w:rsidRDefault="00B13D81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9B43B6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3690" w:type="dxa"/>
          </w:tcPr>
          <w:p w:rsidR="00B13D81" w:rsidRPr="009B43B6" w:rsidRDefault="000E23FC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Նախագծում առաջ քաշվող խնդիրներ և դրանց լուծմանն ուղղված առաջարկներ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:rsidR="00B13D81" w:rsidRPr="009B43B6" w:rsidRDefault="000E23FC" w:rsidP="000E23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Պետաիրավական վարչության առաջարկություններ</w:t>
            </w:r>
            <w:r w:rsidRPr="009B43B6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ի </w:t>
            </w:r>
            <w:r w:rsidR="00B13D81" w:rsidRPr="009B43B6">
              <w:rPr>
                <w:rFonts w:ascii="GHEA Grapalat" w:hAnsi="GHEA Grapalat"/>
                <w:b/>
                <w:sz w:val="22"/>
                <w:szCs w:val="22"/>
                <w:lang w:val="hy-AM"/>
              </w:rPr>
              <w:t>բովանդակությունը</w:t>
            </w:r>
          </w:p>
        </w:tc>
        <w:tc>
          <w:tcPr>
            <w:tcW w:w="3240" w:type="dxa"/>
          </w:tcPr>
          <w:p w:rsidR="00B13D81" w:rsidRPr="009B43B6" w:rsidRDefault="00B13D81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9B43B6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520" w:type="dxa"/>
          </w:tcPr>
          <w:p w:rsidR="00B13D81" w:rsidRPr="009B43B6" w:rsidRDefault="00B13D81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B43B6">
              <w:rPr>
                <w:rFonts w:ascii="GHEA Grapalat" w:hAnsi="GHEA Grapalat"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B13D81" w:rsidRPr="009B43B6" w:rsidTr="00617ED3">
        <w:trPr>
          <w:trHeight w:val="56"/>
        </w:trPr>
        <w:tc>
          <w:tcPr>
            <w:tcW w:w="720" w:type="dxa"/>
          </w:tcPr>
          <w:p w:rsidR="00B13D81" w:rsidRPr="009B43B6" w:rsidRDefault="00B13D81" w:rsidP="00145E7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160" w:type="dxa"/>
          </w:tcPr>
          <w:p w:rsidR="00B13D81" w:rsidRPr="009B43B6" w:rsidRDefault="00B13D81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B43B6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</w:p>
        </w:tc>
        <w:tc>
          <w:tcPr>
            <w:tcW w:w="3690" w:type="dxa"/>
          </w:tcPr>
          <w:p w:rsidR="00B13D81" w:rsidRPr="009B43B6" w:rsidRDefault="00B13D81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870" w:type="dxa"/>
          </w:tcPr>
          <w:p w:rsidR="00B13D81" w:rsidRPr="009B43B6" w:rsidRDefault="00B13D81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B43B6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</w:p>
        </w:tc>
        <w:tc>
          <w:tcPr>
            <w:tcW w:w="3240" w:type="dxa"/>
          </w:tcPr>
          <w:p w:rsidR="00B13D81" w:rsidRPr="009B43B6" w:rsidRDefault="00B13D81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B43B6"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</w:p>
        </w:tc>
        <w:tc>
          <w:tcPr>
            <w:tcW w:w="2520" w:type="dxa"/>
          </w:tcPr>
          <w:p w:rsidR="00B13D81" w:rsidRPr="009B43B6" w:rsidRDefault="00B13D81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B43B6">
              <w:rPr>
                <w:rFonts w:ascii="GHEA Grapalat" w:hAnsi="GHEA Grapalat"/>
                <w:sz w:val="22"/>
                <w:szCs w:val="22"/>
                <w:lang w:val="hy-AM"/>
              </w:rPr>
              <w:t>4</w:t>
            </w:r>
          </w:p>
        </w:tc>
      </w:tr>
      <w:tr w:rsidR="00B13D81" w:rsidRPr="00420A4E" w:rsidTr="00617ED3">
        <w:trPr>
          <w:trHeight w:val="2992"/>
        </w:trPr>
        <w:tc>
          <w:tcPr>
            <w:tcW w:w="720" w:type="dxa"/>
          </w:tcPr>
          <w:p w:rsidR="00B13D81" w:rsidRPr="009B43B6" w:rsidRDefault="00B13D81" w:rsidP="00145E7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9B43B6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  <w:p w:rsidR="00B13D81" w:rsidRPr="009B43B6" w:rsidRDefault="00B13D81" w:rsidP="00145E7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13D81" w:rsidRPr="009B43B6" w:rsidRDefault="00B13D81" w:rsidP="00145E7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13D81" w:rsidRPr="009B43B6" w:rsidRDefault="00B13D81" w:rsidP="00145E7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160" w:type="dxa"/>
          </w:tcPr>
          <w:p w:rsidR="00AC6C11" w:rsidRPr="009B43B6" w:rsidRDefault="00AC6C11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 կառավարություն/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Պետաիրավական վարչությ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ուն</w:t>
            </w:r>
          </w:p>
          <w:p w:rsidR="00AC6C11" w:rsidRPr="009B43B6" w:rsidRDefault="00AC6C11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02.05.2013</w:t>
            </w:r>
          </w:p>
          <w:p w:rsidR="00AC6C11" w:rsidRPr="009B43B6" w:rsidRDefault="00AC6C11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9B43B6"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</w:rPr>
              <w:t>02/16.6/5971-13</w:t>
            </w:r>
          </w:p>
          <w:p w:rsidR="00B13D81" w:rsidRPr="009B43B6" w:rsidRDefault="00B13D81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690" w:type="dxa"/>
          </w:tcPr>
          <w:p w:rsidR="00B13D81" w:rsidRPr="00420A4E" w:rsidRDefault="00B13D81" w:rsidP="00B13D81">
            <w:pPr>
              <w:ind w:firstLine="720"/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  <w:tc>
          <w:tcPr>
            <w:tcW w:w="3870" w:type="dxa"/>
          </w:tcPr>
          <w:p w:rsidR="00B13D81" w:rsidRPr="00420A4E" w:rsidRDefault="00B13D81" w:rsidP="00D01885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Նախագծի որոշ դրույթներ շատ ընդհանրական են, չեն ուրվագծում դրանցով առաջարկվող լուծումների հեռանկարները: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Նախագիծը չի նախատեսում դրույթներ դրա իրականացման համար անհրաժեշտ միջոցառումների ծրագրի ներկայացման ժամկետների, անհրաժեշտ ֆինանսական միջոցների գնահատականի և միջոցառումների ֆինանսավորման աղբյուրների մասին: </w:t>
            </w:r>
          </w:p>
        </w:tc>
        <w:tc>
          <w:tcPr>
            <w:tcW w:w="3240" w:type="dxa"/>
          </w:tcPr>
          <w:p w:rsidR="00B13D81" w:rsidRPr="00420A4E" w:rsidRDefault="00B13D81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en-US"/>
              </w:rPr>
              <w:t xml:space="preserve">Ընդունվել է </w:t>
            </w:r>
            <w:r w:rsidR="00CC5FD2" w:rsidRPr="00420A4E">
              <w:rPr>
                <w:rFonts w:ascii="GHEA Grapalat" w:hAnsi="GHEA Grapalat"/>
                <w:sz w:val="22"/>
                <w:szCs w:val="22"/>
                <w:lang w:val="en-US"/>
              </w:rPr>
              <w:t>ի գիտություն</w:t>
            </w:r>
            <w:r w:rsidRPr="00420A4E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2520" w:type="dxa"/>
          </w:tcPr>
          <w:p w:rsidR="00B13D81" w:rsidRPr="009B43B6" w:rsidRDefault="00CE3FEC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B43B6">
              <w:rPr>
                <w:rFonts w:ascii="GHEA Grapalat" w:hAnsi="GHEA Grapalat"/>
                <w:lang w:val="en-US"/>
              </w:rPr>
              <w:t>Նախագծում փոփոխություններ չեն կատարվել, քանի որ հստակ չի ներկայացված թե կոնկրետ որ դրույթներ են ընդհանրական:</w:t>
            </w:r>
          </w:p>
        </w:tc>
      </w:tr>
      <w:tr w:rsidR="0097238E" w:rsidRPr="00420A4E" w:rsidTr="00617ED3">
        <w:trPr>
          <w:trHeight w:val="7457"/>
        </w:trPr>
        <w:tc>
          <w:tcPr>
            <w:tcW w:w="720" w:type="dxa"/>
          </w:tcPr>
          <w:p w:rsidR="0097238E" w:rsidRPr="009B43B6" w:rsidRDefault="0097238E" w:rsidP="00145E7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160" w:type="dxa"/>
          </w:tcPr>
          <w:p w:rsidR="0097238E" w:rsidRPr="009B43B6" w:rsidRDefault="0097238E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690" w:type="dxa"/>
          </w:tcPr>
          <w:p w:rsidR="0097238E" w:rsidRPr="00420A4E" w:rsidRDefault="0097238E" w:rsidP="00B13D81">
            <w:pPr>
              <w:ind w:firstLine="720"/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  <w:tc>
          <w:tcPr>
            <w:tcW w:w="3870" w:type="dxa"/>
          </w:tcPr>
          <w:p w:rsidR="0097238E" w:rsidRPr="00420A4E" w:rsidRDefault="0097238E" w:rsidP="00B13D81">
            <w:pPr>
              <w:ind w:firstLine="720"/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97238E" w:rsidRPr="00420A4E" w:rsidRDefault="0097238E" w:rsidP="00D01885">
            <w:pPr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Նախագծի 5-րդ կետով նշվում է, որ Հայաստանի Հանրապետության կառավարության կողմից հավանության է արժանացել նոտարիատի բնագավառում էլեկտրոնային կառավարման համակարգի ներդրման հայեցակարգը, ինչպես նաև ապահովվել է նշված ծրագրի իրականացման ֆինանսավորումը՝ «Աջակցություն արդարադատության մատչելիության ապահովմանը» (Support for access to justice) Հայաստան- Եվրոպական միություն- Եվրոպայի խորհուրդ համատեղ ծրագրի շրջանակներում: Այս առումով հարկ է նշել, որ ի կատարումն այդ հայեցակարգի դեռ միջոցառումների ծրագիր չկա, այսինքն հայեցակարգով նախատեսված դրույթները գործնականում կյանքի չեն կոչվել:</w:t>
            </w:r>
          </w:p>
          <w:p w:rsidR="0097238E" w:rsidRPr="00420A4E" w:rsidRDefault="0097238E" w:rsidP="00B13D81">
            <w:pPr>
              <w:ind w:firstLine="720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97238E" w:rsidRPr="00420A4E" w:rsidRDefault="0097238E" w:rsidP="00B13D81">
            <w:pPr>
              <w:spacing w:line="360" w:lineRule="auto"/>
              <w:ind w:firstLine="720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97238E" w:rsidRPr="00420A4E" w:rsidRDefault="0097238E" w:rsidP="00B13D81">
            <w:pPr>
              <w:spacing w:line="360" w:lineRule="auto"/>
              <w:ind w:firstLine="720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97238E" w:rsidRPr="00420A4E" w:rsidRDefault="0097238E" w:rsidP="00B13D8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7238E" w:rsidRPr="00420A4E" w:rsidRDefault="0097238E" w:rsidP="00B13D8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7238E" w:rsidRPr="00420A4E" w:rsidRDefault="0097238E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  <w:tc>
          <w:tcPr>
            <w:tcW w:w="3240" w:type="dxa"/>
          </w:tcPr>
          <w:p w:rsidR="00F7358B" w:rsidRPr="00420A4E" w:rsidRDefault="00D01885" w:rsidP="00F7358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r w:rsidR="00F7358B" w:rsidRPr="00420A4E">
              <w:rPr>
                <w:rFonts w:ascii="GHEA Grapalat" w:hAnsi="GHEA Grapalat"/>
                <w:sz w:val="22"/>
                <w:szCs w:val="22"/>
                <w:lang w:val="hy-AM"/>
              </w:rPr>
              <w:t>յժմ</w:t>
            </w:r>
          </w:p>
          <w:p w:rsidR="00F7358B" w:rsidRPr="00420A4E" w:rsidRDefault="00416E6E" w:rsidP="00F7358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փորձարկման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փուլում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="00D01885"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գտնվում լիազորագրերի թվային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մոդելը</w:t>
            </w:r>
            <w:r w:rsidR="00D01885"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(webPortal-i </w:t>
            </w:r>
            <w:r w:rsidR="00D01885" w:rsidRPr="00420A4E">
              <w:rPr>
                <w:rFonts w:ascii="GHEA Grapalat" w:hAnsi="GHEA Grapalat"/>
                <w:sz w:val="22"/>
                <w:szCs w:val="22"/>
                <w:lang w:val="hy-AM"/>
              </w:rPr>
              <w:t>ա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>ռաջնային պատկերը պատրաստ է)</w:t>
            </w:r>
            <w:r w:rsidR="00D01885" w:rsidRPr="00420A4E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</w:p>
          <w:p w:rsidR="00F7358B" w:rsidRPr="00420A4E" w:rsidRDefault="00D01885" w:rsidP="00F7358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r w:rsidR="00F7358B" w:rsidRPr="00420A4E">
              <w:rPr>
                <w:rFonts w:ascii="GHEA Grapalat" w:hAnsi="GHEA Grapalat"/>
                <w:sz w:val="22"/>
                <w:szCs w:val="22"/>
                <w:lang w:val="hy-AM"/>
              </w:rPr>
              <w:t>նշարժ գույքի</w:t>
            </w:r>
          </w:p>
          <w:p w:rsidR="00F7358B" w:rsidRPr="00420A4E" w:rsidRDefault="00416E6E" w:rsidP="00F7358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հետհամակարգերի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մոտարկումը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սկսվում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ս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թ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.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մայիսի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12</w:t>
            </w:r>
            <w:r w:rsidR="00D01885" w:rsidRPr="00420A4E">
              <w:rPr>
                <w:rFonts w:ascii="GHEA Grapalat" w:hAnsi="GHEA Grapalat"/>
                <w:sz w:val="22"/>
                <w:szCs w:val="22"/>
                <w:lang w:val="hy-AM"/>
              </w:rPr>
              <w:t>-ից:</w:t>
            </w:r>
          </w:p>
          <w:p w:rsidR="00F7358B" w:rsidRPr="00420A4E" w:rsidRDefault="00F7358B" w:rsidP="00F7358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Ժառանգությ</w:t>
            </w:r>
          </w:p>
          <w:p w:rsidR="00F7358B" w:rsidRPr="00420A4E" w:rsidRDefault="00D01885" w:rsidP="00F7358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գործերի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հետ կապված մոդելը մշակվում է և երկշաբաթյա ժամկետում այն ևս կփորձարկվի</w:t>
            </w:r>
            <w:r w:rsidR="00F7358B" w:rsidRPr="00420A4E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F7358B" w:rsidRPr="00420A4E" w:rsidRDefault="00D01885" w:rsidP="00F7358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կտակների</w:t>
            </w:r>
          </w:p>
          <w:p w:rsidR="00F7358B" w:rsidRPr="00420A4E" w:rsidRDefault="00D01885" w:rsidP="00F7358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շտեմարանը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արդեն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մշակվում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է, պետք է համապատասխանեցնել Բազելի կոնվենցիայի պայմաններին:</w:t>
            </w:r>
          </w:p>
          <w:p w:rsidR="00F7358B" w:rsidRPr="00420A4E" w:rsidRDefault="00D01885" w:rsidP="00F7358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32" w:hanging="27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Անձնագարային</w:t>
            </w:r>
          </w:p>
          <w:p w:rsidR="00F7358B" w:rsidRPr="00420A4E" w:rsidRDefault="00D01885" w:rsidP="00F7358B">
            <w:pPr>
              <w:tabs>
                <w:tab w:val="left" w:pos="1692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բազայի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հետ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համակցումը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գտնվում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ընթացիք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փուլում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</w:p>
          <w:p w:rsidR="00F7358B" w:rsidRPr="00420A4E" w:rsidRDefault="00D01885" w:rsidP="00F7358B">
            <w:pPr>
              <w:pStyle w:val="ListParagraph"/>
              <w:numPr>
                <w:ilvl w:val="0"/>
                <w:numId w:val="1"/>
              </w:numPr>
              <w:tabs>
                <w:tab w:val="left" w:pos="1692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քննարկվում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</w:p>
          <w:p w:rsidR="00F7358B" w:rsidRPr="00420A4E" w:rsidRDefault="00D01885" w:rsidP="00F7358B">
            <w:pPr>
              <w:tabs>
                <w:tab w:val="left" w:pos="1692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նաև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 ՃՈ ավտոմեքենաների ռեգիստրի համակցման հարցը,</w:t>
            </w:r>
          </w:p>
          <w:p w:rsidR="00F7358B" w:rsidRPr="00420A4E" w:rsidRDefault="00D01885" w:rsidP="00F7358B">
            <w:pPr>
              <w:pStyle w:val="ListParagraph"/>
              <w:numPr>
                <w:ilvl w:val="0"/>
                <w:numId w:val="1"/>
              </w:numPr>
              <w:tabs>
                <w:tab w:val="left" w:pos="1692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շարժ</w:t>
            </w:r>
            <w:r w:rsidR="00F7358B" w:rsidRPr="00420A4E">
              <w:rPr>
                <w:rFonts w:ascii="GHEA Grapalat" w:hAnsi="GHEA Grapalat"/>
                <w:sz w:val="22"/>
                <w:szCs w:val="22"/>
                <w:lang w:val="hy-AM"/>
              </w:rPr>
              <w:t>ական</w:t>
            </w:r>
          </w:p>
          <w:p w:rsidR="00F7358B" w:rsidRPr="00420A4E" w:rsidRDefault="00D01885" w:rsidP="00F7358B">
            <w:pPr>
              <w:tabs>
                <w:tab w:val="left" w:pos="1692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գույքի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գրավի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ռեգիստրի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պորտալին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միանալու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հարցը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քննարկվում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="00F7358B"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, որը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ստեղծվելու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շարժական գույքի ռեգիստրի ստեղծման հետ:</w:t>
            </w:r>
          </w:p>
          <w:p w:rsidR="0097238E" w:rsidRPr="00420A4E" w:rsidRDefault="00D01885" w:rsidP="00F7358B">
            <w:pPr>
              <w:tabs>
                <w:tab w:val="left" w:pos="1692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Ելնելով վերոգրյալից ՝ փաստացիորեն</w:t>
            </w:r>
            <w:r w:rsidR="00F7358B"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>հայեցակարգով նախատեսված գործողությունները մոտենում են ավարտին:</w:t>
            </w:r>
          </w:p>
        </w:tc>
        <w:tc>
          <w:tcPr>
            <w:tcW w:w="2520" w:type="dxa"/>
          </w:tcPr>
          <w:p w:rsidR="0097238E" w:rsidRPr="009B43B6" w:rsidRDefault="0097238E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B13D81" w:rsidRPr="009B43B6" w:rsidTr="00617ED3">
        <w:trPr>
          <w:trHeight w:val="56"/>
        </w:trPr>
        <w:tc>
          <w:tcPr>
            <w:tcW w:w="720" w:type="dxa"/>
          </w:tcPr>
          <w:p w:rsidR="00B13D81" w:rsidRPr="009B43B6" w:rsidRDefault="00B13D81" w:rsidP="00145E7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160" w:type="dxa"/>
          </w:tcPr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 կառավարություն/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Պետաիրավական վարչությ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ուն</w:t>
            </w:r>
          </w:p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02.05.2013</w:t>
            </w:r>
          </w:p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9B43B6"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</w:rPr>
              <w:t>02/16.6/5971-13</w:t>
            </w:r>
          </w:p>
          <w:p w:rsidR="00B13D81" w:rsidRPr="009B43B6" w:rsidRDefault="00B13D81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690" w:type="dxa"/>
          </w:tcPr>
          <w:p w:rsidR="000E23FC" w:rsidRPr="00420A4E" w:rsidRDefault="000E23FC" w:rsidP="000E23FC">
            <w:pPr>
              <w:ind w:firstLine="717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lastRenderedPageBreak/>
              <w:t xml:space="preserve">1) անհրաժեշտ է ներդնել </w:t>
            </w:r>
            <w:r w:rsidRPr="00420A4E">
              <w:rPr>
                <w:rFonts w:ascii="GHEA Grapalat" w:hAnsi="GHEA Grapalat"/>
                <w:b/>
                <w:bCs/>
                <w:i/>
                <w:sz w:val="22"/>
                <w:szCs w:val="22"/>
                <w:u w:val="single"/>
                <w:lang w:val="hy-AM"/>
              </w:rPr>
              <w:t>մեկ պատուհանի սկզբունքով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ծառայություններ մատուցելու հնարավորությունը (անշարժ գույքի առքուվաճառք, տրանսպորտային միջոցների 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lastRenderedPageBreak/>
              <w:t>առքուվաճառք, առևտրային կազմակերպություններում բաժնեմասի և բաժնետոմսերի օտարում և այլն), նպատակ ունենալով աստիճանաբար սեղմ ժամկետում անցնելու բացառապես կամ առավելապես մեկ պատուհանի սկզբունքով ծառայությունների մատուցմանը.</w:t>
            </w:r>
          </w:p>
          <w:p w:rsidR="00B13D81" w:rsidRPr="00420A4E" w:rsidRDefault="00B13D81" w:rsidP="00B13D81">
            <w:pPr>
              <w:ind w:firstLine="720"/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  <w:tc>
          <w:tcPr>
            <w:tcW w:w="3870" w:type="dxa"/>
          </w:tcPr>
          <w:p w:rsidR="00B13D81" w:rsidRPr="00420A4E" w:rsidRDefault="000E23FC" w:rsidP="00D01885">
            <w:pPr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Այս և ստորև ներկայացվող 2-րդ կետի առնչությամբ գտնում ենք, որ առաջարկվող լուծումները կարևոր քայլ կլինեն նոտարիատի բնագավառում էական առաջընթաց արձանագրելու և մատուցվող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ծառայությունները բարելավելու ուղղությամբ: Սակայն, նշված դրույթները կյանքի կոչելու համար, կարծում ենք նպատակահարմար կլինի զուգահեռ առաջարկներ ներկայացնել  տվյալների էլեկտրոնային բազաների ստեղծման հնարավորությունների և իրականացման ուղիների վերաբերյալ:</w:t>
            </w:r>
          </w:p>
        </w:tc>
        <w:tc>
          <w:tcPr>
            <w:tcW w:w="3240" w:type="dxa"/>
          </w:tcPr>
          <w:p w:rsidR="00F7358B" w:rsidRPr="00420A4E" w:rsidRDefault="00F7358B" w:rsidP="00F7358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 ի գիտություն: Մինչև 2012 թվականը ստեղծվել</w:t>
            </w:r>
          </w:p>
          <w:p w:rsidR="00B13D81" w:rsidRPr="00420A4E" w:rsidRDefault="00F7358B" w:rsidP="00071BF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են տվյալների այնպիսի էլեկտրոնային բազաներ, ինչպիսիք են՝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էլ. ռեգիստրը, 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էլ.կադաստրը,Ճանապարհային ոստիկանության էլ. բազան, դեպոզիտարիայի, բաժնետոմսերի ռեգիստրի էլեկտրոնա</w:t>
            </w:r>
            <w:r w:rsidR="00071BF1" w:rsidRPr="00420A4E">
              <w:rPr>
                <w:rFonts w:ascii="GHEA Grapalat" w:hAnsi="GHEA Grapalat"/>
                <w:sz w:val="22"/>
                <w:szCs w:val="22"/>
                <w:lang w:val="hy-AM"/>
              </w:rPr>
              <w:t>յին բազաերը: Չի գործում միայն է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>կ</w:t>
            </w:r>
            <w:r w:rsidR="00071BF1" w:rsidRPr="00420A4E">
              <w:rPr>
                <w:rFonts w:ascii="GHEA Grapalat" w:hAnsi="GHEA Grapalat"/>
                <w:sz w:val="22"/>
                <w:szCs w:val="22"/>
                <w:lang w:val="hy-AM"/>
              </w:rPr>
              <w:t>ե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տրոնային ՔԿԱԳ բազան, </w:t>
            </w:r>
            <w:r w:rsidR="00071BF1" w:rsidRPr="00420A4E">
              <w:rPr>
                <w:rFonts w:ascii="GHEA Grapalat" w:hAnsi="GHEA Grapalat"/>
                <w:sz w:val="22"/>
                <w:szCs w:val="22"/>
                <w:lang w:val="hy-AM"/>
              </w:rPr>
              <w:t>որը գտնվում է մշակման փուլում, թ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>վայնացման աշխատանքները իրականացվում են:</w:t>
            </w:r>
          </w:p>
        </w:tc>
        <w:tc>
          <w:tcPr>
            <w:tcW w:w="2520" w:type="dxa"/>
          </w:tcPr>
          <w:p w:rsidR="00B13D81" w:rsidRPr="009B43B6" w:rsidRDefault="00CE3FEC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B43B6">
              <w:rPr>
                <w:rFonts w:ascii="GHEA Grapalat" w:hAnsi="GHEA Grapalat"/>
                <w:lang w:val="en-US"/>
              </w:rPr>
              <w:lastRenderedPageBreak/>
              <w:t>Նախագծում փոփոխություններ չեն կատարվել:</w:t>
            </w:r>
          </w:p>
        </w:tc>
      </w:tr>
      <w:tr w:rsidR="000E23FC" w:rsidRPr="009B43B6" w:rsidTr="00617ED3">
        <w:trPr>
          <w:trHeight w:val="56"/>
        </w:trPr>
        <w:tc>
          <w:tcPr>
            <w:tcW w:w="720" w:type="dxa"/>
          </w:tcPr>
          <w:p w:rsidR="000E23FC" w:rsidRPr="009B43B6" w:rsidRDefault="000E23FC" w:rsidP="00145E7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160" w:type="dxa"/>
          </w:tcPr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 կառավարություն/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Պետաիրավական վարչությ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ուն</w:t>
            </w:r>
          </w:p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02.05.2013</w:t>
            </w:r>
          </w:p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9B43B6"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</w:rPr>
              <w:t>02/16.6/5971-13</w:t>
            </w:r>
          </w:p>
          <w:p w:rsidR="000E23FC" w:rsidRPr="009B43B6" w:rsidRDefault="000E23FC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690" w:type="dxa"/>
          </w:tcPr>
          <w:p w:rsidR="000E23FC" w:rsidRPr="00420A4E" w:rsidRDefault="000E23FC" w:rsidP="0097238E">
            <w:pPr>
              <w:ind w:firstLine="717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2) անհրաժեշտ է ներդնել </w:t>
            </w:r>
            <w:r w:rsidRPr="00420A4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 xml:space="preserve">էլեկտրոնային նոտարի 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համակարգը, ինչը հնարավորություն կտա նոտարի կողմից գործողությունները առավելապես </w:t>
            </w:r>
            <w:r w:rsidRPr="00420A4E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էլեկտրոնային փաստաթղթերի միջոցով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կատարմանը.</w:t>
            </w:r>
          </w:p>
          <w:p w:rsidR="000E23FC" w:rsidRPr="00420A4E" w:rsidRDefault="000E23FC" w:rsidP="000E23FC">
            <w:pPr>
              <w:ind w:firstLine="717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  <w:tc>
          <w:tcPr>
            <w:tcW w:w="3870" w:type="dxa"/>
          </w:tcPr>
          <w:p w:rsidR="000E23FC" w:rsidRPr="00420A4E" w:rsidRDefault="000E23FC" w:rsidP="00B13D81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</w:rPr>
              <w:t>Տես վերևի կետի մեկնաբանությունը</w:t>
            </w:r>
            <w:r w:rsidR="00553A5D" w:rsidRPr="00420A4E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3240" w:type="dxa"/>
          </w:tcPr>
          <w:p w:rsidR="000E23FC" w:rsidRPr="00420A4E" w:rsidRDefault="00F7358B" w:rsidP="00F7358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</w:rPr>
              <w:t xml:space="preserve">Տես վերևի կետի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en-US"/>
              </w:rPr>
              <w:t>բացատրությունը:</w:t>
            </w:r>
          </w:p>
        </w:tc>
        <w:tc>
          <w:tcPr>
            <w:tcW w:w="2520" w:type="dxa"/>
          </w:tcPr>
          <w:p w:rsidR="000E23FC" w:rsidRPr="009B43B6" w:rsidRDefault="00CE3FEC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B43B6">
              <w:rPr>
                <w:rFonts w:ascii="GHEA Grapalat" w:hAnsi="GHEA Grapalat"/>
                <w:lang w:val="en-US"/>
              </w:rPr>
              <w:t>Նախագծում փոփոխություններ չեն կատարվել:</w:t>
            </w:r>
          </w:p>
        </w:tc>
      </w:tr>
      <w:tr w:rsidR="000E23FC" w:rsidRPr="00420A4E" w:rsidTr="00617ED3">
        <w:trPr>
          <w:trHeight w:val="56"/>
        </w:trPr>
        <w:tc>
          <w:tcPr>
            <w:tcW w:w="720" w:type="dxa"/>
          </w:tcPr>
          <w:p w:rsidR="000E23FC" w:rsidRPr="009B43B6" w:rsidRDefault="000E23FC" w:rsidP="00145E7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160" w:type="dxa"/>
          </w:tcPr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 կառավարություն/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Պետաիրավական վարչությ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ուն</w:t>
            </w:r>
          </w:p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02.05.2013</w:t>
            </w:r>
          </w:p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9B43B6"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</w:rPr>
              <w:t>02/16.6/5971-13</w:t>
            </w:r>
          </w:p>
          <w:p w:rsidR="000E23FC" w:rsidRPr="009B43B6" w:rsidRDefault="000E23FC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690" w:type="dxa"/>
          </w:tcPr>
          <w:p w:rsidR="000E23FC" w:rsidRPr="00420A4E" w:rsidRDefault="000E23FC" w:rsidP="0097238E">
            <w:pPr>
              <w:ind w:firstLine="717"/>
              <w:jc w:val="both"/>
              <w:textAlignment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5) օրենսդրության մեջ բացակայում են մի շարք իրավական ինստիտուտներ, որոնց առկայությունը կարող է նպաստել դատաիրավական համակարգի զգալի զարգացմանը և քաղաքացիների իրավական պաշտպանվածության զգալի աճին: Այսպես, անհրաժեշտ է նախատեսել </w:t>
            </w:r>
            <w:r w:rsidRPr="00420A4E">
              <w:rPr>
                <w:rFonts w:ascii="GHEA Grapalat" w:hAnsi="GHEA Grapalat"/>
                <w:b/>
                <w:bCs/>
                <w:sz w:val="22"/>
                <w:szCs w:val="22"/>
                <w:u w:val="single"/>
                <w:lang w:val="hy-AM"/>
              </w:rPr>
              <w:t xml:space="preserve">կառուցվող շենքում կամ շինությունում անշարժ </w:t>
            </w:r>
            <w:r w:rsidRPr="00420A4E">
              <w:rPr>
                <w:rFonts w:ascii="GHEA Grapalat" w:hAnsi="GHEA Grapalat"/>
                <w:b/>
                <w:bCs/>
                <w:sz w:val="22"/>
                <w:szCs w:val="22"/>
                <w:u w:val="single"/>
                <w:lang w:val="hy-AM"/>
              </w:rPr>
              <w:lastRenderedPageBreak/>
              <w:t>գույքի վաճառքի հստակ կարգավորումը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՝ շինարարության շուկայում վստահությունը վերականգնելու /պահպանելու/ և որպես արդյունք, շինարարության աճը խթանելու համար: Ընդ որում, համապատասխան կարգավորումները մշակելիս պետք է հաշվի առնել ինչպես բնակարաններ գնողների պաշտ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softHyphen/>
              <w:t>պանվածության հարցը, այնպես էլ՝ կառուցապատման շուկայի զարգացումը ապահովելու անհրաժեշտությունը.</w:t>
            </w:r>
          </w:p>
          <w:p w:rsidR="000E23FC" w:rsidRPr="00420A4E" w:rsidRDefault="000E23FC" w:rsidP="000E23FC">
            <w:pPr>
              <w:spacing w:line="360" w:lineRule="auto"/>
              <w:ind w:firstLine="717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  <w:tc>
          <w:tcPr>
            <w:tcW w:w="3870" w:type="dxa"/>
          </w:tcPr>
          <w:p w:rsidR="000E23FC" w:rsidRPr="00420A4E" w:rsidRDefault="000E23FC" w:rsidP="0097238E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lastRenderedPageBreak/>
              <w:t xml:space="preserve">Օրենսդիրն արդեն իսկ անդրադարձել է կառուցվող շենքում կամ շինությունում անշարժ գույքի վաճառքի հետ կապված խնդրին՝ որն իր կարգավորումն է գտել ՀՀ քաղաքացիական  օրենսգրքի  445-րդ հոդվածում և &lt;&lt;Գույքի նկատմամբ իրավունքների պետական  գրանցման մասին&gt;&gt; ՀՀ օրենքի 36-րդ հոդվածում: Նախագծում չի 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lastRenderedPageBreak/>
              <w:t>հիմնավորվում առկա կարգավորումների թերությունները և չի նախատեսվում որոշակի  դրույթներ հետագա կարգավորումների վերաբերյալ (թեկուզ որոշ սկզբունքային հարցերի շուրջ), որոնք կարող են էական նշանակություն ունենալ այս ոլորտում շուկայի կայունացման համար: Միևնույն ժամանակ չի նախանշվում, թե ինչ առնչություն կարող են ունենալ նոտարները այդ կարգավորումների հետ:</w:t>
            </w:r>
          </w:p>
          <w:p w:rsidR="000E23FC" w:rsidRPr="00420A4E" w:rsidRDefault="000E23FC" w:rsidP="0097238E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240" w:type="dxa"/>
          </w:tcPr>
          <w:p w:rsidR="000E23FC" w:rsidRPr="00420A4E" w:rsidRDefault="00F7358B" w:rsidP="00E675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 xml:space="preserve">Ընդունվել է: </w:t>
            </w:r>
          </w:p>
        </w:tc>
        <w:tc>
          <w:tcPr>
            <w:tcW w:w="2520" w:type="dxa"/>
          </w:tcPr>
          <w:p w:rsidR="000E23FC" w:rsidRPr="009B43B6" w:rsidRDefault="00E675D5" w:rsidP="00E675D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B43B6">
              <w:rPr>
                <w:rFonts w:ascii="GHEA Grapalat" w:hAnsi="GHEA Grapalat"/>
                <w:lang w:val="en-US"/>
              </w:rPr>
              <w:t>Նշված կետը հանվել է նախագծից:</w:t>
            </w:r>
          </w:p>
        </w:tc>
      </w:tr>
      <w:tr w:rsidR="000E23FC" w:rsidRPr="009B43B6" w:rsidTr="00617ED3">
        <w:trPr>
          <w:trHeight w:val="56"/>
        </w:trPr>
        <w:tc>
          <w:tcPr>
            <w:tcW w:w="720" w:type="dxa"/>
          </w:tcPr>
          <w:p w:rsidR="000E23FC" w:rsidRPr="009B43B6" w:rsidRDefault="000E23FC" w:rsidP="00145E7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160" w:type="dxa"/>
          </w:tcPr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 կառավարություն/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Պետաիրավական վարչությ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ուն</w:t>
            </w:r>
          </w:p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02.05.2013</w:t>
            </w:r>
          </w:p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9B43B6"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</w:rPr>
              <w:t>02/16.6/5971-13</w:t>
            </w:r>
          </w:p>
          <w:p w:rsidR="000E23FC" w:rsidRPr="009B43B6" w:rsidRDefault="000E23FC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690" w:type="dxa"/>
          </w:tcPr>
          <w:p w:rsidR="000E23FC" w:rsidRPr="00420A4E" w:rsidRDefault="000E23FC" w:rsidP="009D1B47">
            <w:pPr>
              <w:ind w:firstLine="717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10) </w:t>
            </w:r>
            <w:r w:rsidRPr="00420A4E">
              <w:rPr>
                <w:rFonts w:ascii="GHEA Grapalat" w:eastAsia="Calibri" w:hAnsi="GHEA Grapalat"/>
                <w:bCs/>
                <w:sz w:val="22"/>
                <w:szCs w:val="22"/>
                <w:lang w:val="hy-AM"/>
              </w:rPr>
              <w:t>Անհրաժեշտ է անցում կատարել տոկոսային սակագների, գույքի օտարման վճարը սահմանելով կես տոկոսից մինչև երկու տոկոս, կախված գործարքի գնից՝ ընդ որում, ամեն դեպքում սահմանելով ստորին շեմ, մնացած գործարքների համար անհրաժեշտ է վերացնել գործող սանդղակը և սահմանել կոնկրետ սակագին:</w:t>
            </w:r>
          </w:p>
        </w:tc>
        <w:tc>
          <w:tcPr>
            <w:tcW w:w="3870" w:type="dxa"/>
          </w:tcPr>
          <w:p w:rsidR="000E23FC" w:rsidRPr="00420A4E" w:rsidRDefault="000E23FC" w:rsidP="0097238E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20A4E">
              <w:rPr>
                <w:rFonts w:ascii="GHEA Grapalat" w:eastAsia="Calibri" w:hAnsi="GHEA Grapalat"/>
                <w:sz w:val="22"/>
                <w:szCs w:val="22"/>
                <w:lang w:val="hy-AM"/>
              </w:rPr>
              <w:t>Գտնում ենք, որ տոկոսային սակագների սահմանումը կհանգեցնի գործարքի իրական արժեքը թաքցնելուն և հարկերից խուսափելուն: Առաջարկում ենք քննարկել  հաստատագրված տարբերակված սակագների սահմանման հնարավորությունը՝ կախված գույքի տարբեր հատկանիշներից (արժեքից, տեսակից, նշանակությունից և այլն):</w:t>
            </w:r>
          </w:p>
        </w:tc>
        <w:tc>
          <w:tcPr>
            <w:tcW w:w="3240" w:type="dxa"/>
          </w:tcPr>
          <w:p w:rsidR="000E23FC" w:rsidRPr="00420A4E" w:rsidRDefault="00273220" w:rsidP="006B6AEF">
            <w:pPr>
              <w:autoSpaceDE w:val="0"/>
              <w:autoSpaceDN w:val="0"/>
              <w:adjustRightInd w:val="0"/>
              <w:jc w:val="both"/>
              <w:rPr>
                <w:rFonts w:ascii="GHEA Grapalat" w:eastAsia="Calibri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>Չի ընդունվել:</w:t>
            </w:r>
            <w:r w:rsidRPr="00420A4E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Հարկերից խուսափելու վրա տվյալ մոդելը այդքան էլ չի ազդում, դա ավելի շատ հարկային</w:t>
            </w:r>
            <w:r w:rsidR="00E675D5" w:rsidRPr="00420A4E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eastAsia="Calibri" w:hAnsi="GHEA Grapalat"/>
                <w:sz w:val="22"/>
                <w:szCs w:val="22"/>
                <w:lang w:val="hy-AM"/>
              </w:rPr>
              <w:t>վարչարարաության խնդիրն է: Սակայն սակագին սահմանելը ավելի շատ կոռուպցիոն ռիսկ է իր մեջ պարունակում քանց, տոկոսայինը:</w:t>
            </w:r>
          </w:p>
          <w:p w:rsidR="00273220" w:rsidRPr="00420A4E" w:rsidRDefault="00273220" w:rsidP="006B6A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Տոկոսայինի դեպքում պետք է հաշվի առնել, որ կա այլընտրանքային տարբերակ՝ կադաստրում տիպային ձևերի կնքումը, հետևաբար նոտարներին դիմելու են ռեալ </w:t>
            </w:r>
            <w:r w:rsidRPr="00420A4E">
              <w:rPr>
                <w:rFonts w:ascii="GHEA Grapalat" w:eastAsia="Calibri" w:hAnsi="GHEA Grapalat"/>
                <w:sz w:val="22"/>
                <w:szCs w:val="22"/>
                <w:lang w:val="hy-AM"/>
              </w:rPr>
              <w:lastRenderedPageBreak/>
              <w:t>իրավաբանական խորհրդատվության անհրածեշտություն ունեցողները:Նոտարը նրանց բացատրելու է հնարավոր ռիսկերը, հետևանքները, և իր կողմից ոչ թե տոկոսի չափով այլ ամբողջ գործարքի չափով կնքվող պատասխանատվությունը, ինչը նպաստում է նոտարի որպես այդպիսին որակի բարձրացմանը և ծառայությունների բարելավմանը: Մյուս դեպքում Նոտարը բացատրում է գործարքի իրական գնի (անշարժ գույքի արժեքի) թակցնելու հետևանքները և դատական պրակտիկայի արդյունքում խնդիրը կլուծվի:</w:t>
            </w:r>
            <w:r w:rsidR="00A37A70" w:rsidRPr="00420A4E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eastAsia="Calibri" w:hAnsi="GHEA Grapalat"/>
                <w:sz w:val="22"/>
                <w:szCs w:val="22"/>
                <w:lang w:val="hy-AM"/>
              </w:rPr>
              <w:t>Միաժամանակ պետք է հաշվի առնել տոկոսայինի դեպքում անցումը նյութական պատասխանատվության:(Գործարքի գնի չափով պատասխանատվության:)</w:t>
            </w:r>
          </w:p>
        </w:tc>
        <w:tc>
          <w:tcPr>
            <w:tcW w:w="2520" w:type="dxa"/>
          </w:tcPr>
          <w:p w:rsidR="000E23FC" w:rsidRPr="009B43B6" w:rsidRDefault="00CE3FEC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B43B6">
              <w:rPr>
                <w:rFonts w:ascii="GHEA Grapalat" w:hAnsi="GHEA Grapalat"/>
                <w:lang w:val="en-US"/>
              </w:rPr>
              <w:lastRenderedPageBreak/>
              <w:t>Նախագծում փոփոխություններ չեն կատարվել:</w:t>
            </w:r>
          </w:p>
        </w:tc>
      </w:tr>
      <w:tr w:rsidR="000E23FC" w:rsidRPr="009B43B6" w:rsidTr="00617ED3">
        <w:trPr>
          <w:trHeight w:val="56"/>
        </w:trPr>
        <w:tc>
          <w:tcPr>
            <w:tcW w:w="720" w:type="dxa"/>
          </w:tcPr>
          <w:p w:rsidR="000E23FC" w:rsidRPr="009B43B6" w:rsidRDefault="000E23FC" w:rsidP="00145E7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160" w:type="dxa"/>
          </w:tcPr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 կառավարություն/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Պետաիրավակա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lastRenderedPageBreak/>
              <w:t>ն վարչությ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ուն</w:t>
            </w:r>
          </w:p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02.05.2013</w:t>
            </w:r>
          </w:p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9B43B6"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</w:rPr>
              <w:t>02/16.6/5971-13</w:t>
            </w:r>
          </w:p>
          <w:p w:rsidR="000E23FC" w:rsidRPr="009B43B6" w:rsidRDefault="000E23FC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690" w:type="dxa"/>
          </w:tcPr>
          <w:p w:rsidR="000E23FC" w:rsidRPr="00420A4E" w:rsidRDefault="000E23FC" w:rsidP="009D1B47">
            <w:pPr>
              <w:ind w:firstLine="717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lastRenderedPageBreak/>
              <w:t xml:space="preserve">11) որոշ նոտարական գրասենյակներում դեռևս գոյանում են զգալի հերթեր: Նաև 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lastRenderedPageBreak/>
              <w:t xml:space="preserve">կա որոշակի անհամաչափություն տարբեր նոտարական տարածքների միջև: Անհրաժեշտ է վերանայել նոտարական տարածքների աշխարհագրությունը և սահմանները՝ նպատակ ունենալով բնակչության քանակի վրա հիմնված տարածքային բաժանումից անցնել </w:t>
            </w:r>
            <w:r w:rsidRPr="00420A4E">
              <w:rPr>
                <w:rFonts w:ascii="GHEA Grapalat" w:hAnsi="GHEA Grapalat"/>
                <w:b/>
                <w:bCs/>
                <w:i/>
                <w:sz w:val="22"/>
                <w:szCs w:val="22"/>
                <w:u w:val="single"/>
                <w:lang w:val="hy-AM"/>
              </w:rPr>
              <w:t>գործարքների / ակտիվության վրա հիմնված տարածքային բաժանման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:</w:t>
            </w:r>
          </w:p>
        </w:tc>
        <w:tc>
          <w:tcPr>
            <w:tcW w:w="3870" w:type="dxa"/>
          </w:tcPr>
          <w:p w:rsidR="000E23FC" w:rsidRPr="00420A4E" w:rsidRDefault="000E23FC" w:rsidP="0097238E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Գործարքների ակտիվությունը կոնկրետ տարածքում կարող է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պայմանավորված լինել տարբեր տնտեսական գործոններով (օր. անշարժ գույքի շուկայի աշխուժացում), կամ մշտական կայուն հաճախորդ(ներ)ի առկայությամբ (օր. առևտրային բանկեր), ինչը կարող է որոշ նոտարների մոտ որոշակի ժամանակահատվածում ավելացնել գործարքների թիվը, սակայն իրավիճակի փոփոխության արդյունքում կարող է կրկին հետընթաց գրանցվել, հետևաբար, կարծում ենք, շեշտը ոչ թե պետք է դնել գործարքների, այլ բնակչության թվի վրա: Առաջարկի մասով առավել կոնկրետ լուծում գտնելու համար կարծում ենք ճիշտ կլինի 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>վերանայել  ներկայիս տարածքային բաժանումը ամբողջությամբ՝ ելնելով բնակչության թվից:</w:t>
            </w:r>
          </w:p>
        </w:tc>
        <w:tc>
          <w:tcPr>
            <w:tcW w:w="3240" w:type="dxa"/>
          </w:tcPr>
          <w:p w:rsidR="000E23FC" w:rsidRPr="00420A4E" w:rsidRDefault="006B6AEF" w:rsidP="00CE3FE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 ի գիտություն:</w:t>
            </w:r>
            <w:r w:rsidR="00E675D5"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5C4C31" w:rsidRPr="00420A4E">
              <w:rPr>
                <w:rFonts w:ascii="GHEA Grapalat" w:hAnsi="GHEA Grapalat"/>
                <w:sz w:val="22"/>
                <w:szCs w:val="22"/>
                <w:lang w:val="hy-AM"/>
              </w:rPr>
              <w:t>Գտնում ենք, որ</w:t>
            </w:r>
            <w:r w:rsidR="00E675D5"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նոտարների </w:t>
            </w:r>
            <w:r w:rsidR="005C4C31"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675D5"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տարածքային բաժանումը </w:t>
            </w:r>
            <w:r w:rsidR="00E675D5" w:rsidRPr="00420A4E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պետք է պայամանավորված լինի հենց </w:t>
            </w:r>
            <w:r w:rsidR="005C4C31" w:rsidRPr="00420A4E">
              <w:rPr>
                <w:rFonts w:ascii="GHEA Grapalat" w:hAnsi="GHEA Grapalat"/>
                <w:sz w:val="22"/>
                <w:szCs w:val="22"/>
                <w:lang w:val="hy-AM"/>
              </w:rPr>
              <w:t>տնտեսական գործոններով</w:t>
            </w:r>
            <w:r w:rsidR="00E675D5" w:rsidRPr="00420A4E">
              <w:rPr>
                <w:rFonts w:ascii="GHEA Grapalat" w:hAnsi="GHEA Grapalat"/>
                <w:sz w:val="22"/>
                <w:szCs w:val="22"/>
                <w:lang w:val="hy-AM"/>
              </w:rPr>
              <w:t>, այլ ոչ թե բնակչության թվով: Քանի որ, եթե թվով շատ բնակչություն</w:t>
            </w:r>
            <w:r w:rsidR="005E09AE"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</w:t>
            </w:r>
            <w:r w:rsidR="00E675D5"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, բայ</w:t>
            </w:r>
            <w:r w:rsidR="005E09AE" w:rsidRPr="00420A4E">
              <w:rPr>
                <w:rFonts w:ascii="GHEA Grapalat" w:hAnsi="GHEA Grapalat"/>
                <w:sz w:val="22"/>
                <w:szCs w:val="22"/>
                <w:lang w:val="hy-AM"/>
              </w:rPr>
              <w:t>ց</w:t>
            </w:r>
            <w:r w:rsidR="00E675D5"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տնտեսական գործոնները ցածր</w:t>
            </w:r>
            <w:r w:rsidR="005E09AE"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են, ապա </w:t>
            </w:r>
            <w:r w:rsidR="00E675D5" w:rsidRPr="00420A4E">
              <w:rPr>
                <w:rFonts w:ascii="GHEA Grapalat" w:hAnsi="GHEA Grapalat"/>
                <w:sz w:val="22"/>
                <w:szCs w:val="22"/>
                <w:lang w:val="hy-AM"/>
              </w:rPr>
              <w:t>նոտարների տարածքային բաշխումը չի արդարացվում ըստ բնակչության թվի:</w:t>
            </w:r>
            <w:r w:rsidR="00CE3FEC"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Տեղաբաշխումը պետք է իրականացվի՝ ելնելով առավել ակտիվ </w:t>
            </w:r>
            <w:r w:rsidR="00CE3FEC"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տնտեսական գործոններից:</w:t>
            </w:r>
          </w:p>
        </w:tc>
        <w:tc>
          <w:tcPr>
            <w:tcW w:w="2520" w:type="dxa"/>
          </w:tcPr>
          <w:p w:rsidR="000E23FC" w:rsidRPr="009B43B6" w:rsidRDefault="00CE3FEC" w:rsidP="00145E7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B43B6">
              <w:rPr>
                <w:rFonts w:ascii="GHEA Grapalat" w:hAnsi="GHEA Grapalat"/>
                <w:lang w:val="en-US"/>
              </w:rPr>
              <w:lastRenderedPageBreak/>
              <w:t>Նախագծում փոփոխություններ չեն կատարվել:</w:t>
            </w:r>
          </w:p>
        </w:tc>
      </w:tr>
      <w:tr w:rsidR="000E23FC" w:rsidRPr="00420A4E" w:rsidTr="00617ED3">
        <w:trPr>
          <w:trHeight w:val="56"/>
        </w:trPr>
        <w:tc>
          <w:tcPr>
            <w:tcW w:w="720" w:type="dxa"/>
          </w:tcPr>
          <w:p w:rsidR="000E23FC" w:rsidRPr="009B43B6" w:rsidRDefault="000E23FC" w:rsidP="000E23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160" w:type="dxa"/>
          </w:tcPr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 կառավարություն/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Պետաիրավական վարչությ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ուն</w:t>
            </w:r>
          </w:p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02.05.2013</w:t>
            </w:r>
          </w:p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9B43B6"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</w:rPr>
              <w:t>02/16.6/5971-13</w:t>
            </w:r>
          </w:p>
          <w:p w:rsidR="000E23FC" w:rsidRPr="009B43B6" w:rsidRDefault="000E23FC" w:rsidP="000E23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690" w:type="dxa"/>
          </w:tcPr>
          <w:p w:rsidR="000E23FC" w:rsidRPr="00420A4E" w:rsidRDefault="000E23FC" w:rsidP="009D1B47">
            <w:pPr>
              <w:ind w:firstLine="717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12) բարեփոխումների արդյունքում նոտարական համակարգը պետք է նաև լիովին ստանձնի արդարադատությանը աջակցող մարմնի գործառույթը, դրա համար անհրաժեշտ է մի շարք՝ դատարանին ընդդատյա հարցերով որոշումների կայացման հնարավորությունը 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lastRenderedPageBreak/>
              <w:t>փոխանցել նոտարներին՝ թողնելով նշված գործողությունների նկատմամբ դատական վերահսկողության հնարավորությունը: Այդպիսի գործառույթներ են՝</w:t>
            </w:r>
          </w:p>
          <w:p w:rsidR="000E23FC" w:rsidRPr="00420A4E" w:rsidRDefault="000E23FC" w:rsidP="009D1B47">
            <w:pPr>
              <w:ind w:firstLine="717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ա. քաղաքացիական կացության ակտերի գրառումների անճշտությունները պարզելու գործերի վարույթը,</w:t>
            </w:r>
          </w:p>
          <w:p w:rsidR="000E23FC" w:rsidRPr="00420A4E" w:rsidRDefault="000E23FC" w:rsidP="009D1B47">
            <w:pPr>
              <w:ind w:firstLine="717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բ. գույքը տիրազուրկ ճանաչելու գործերի վարույթը, </w:t>
            </w:r>
          </w:p>
          <w:p w:rsidR="000E23FC" w:rsidRPr="00420A4E" w:rsidRDefault="000E23FC" w:rsidP="009D1B47">
            <w:pPr>
              <w:ind w:firstLine="717"/>
              <w:jc w:val="both"/>
              <w:textAlignment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գ. 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>երեխայի որդեգրման վերաբերյալ գործերի վարույթը,</w:t>
            </w:r>
          </w:p>
          <w:p w:rsidR="000E23FC" w:rsidRPr="00420A4E" w:rsidRDefault="000E23FC" w:rsidP="009D1B47">
            <w:pPr>
              <w:ind w:firstLine="717"/>
              <w:jc w:val="both"/>
              <w:textAlignment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>դ. անչափահասին լրիվ գործունակ ճանաչելու (էմանսիպացիայի) գործերի վարույթը,</w:t>
            </w:r>
          </w:p>
          <w:p w:rsidR="000E23FC" w:rsidRPr="00420A4E" w:rsidRDefault="000E23FC" w:rsidP="009D1B47">
            <w:pPr>
              <w:ind w:firstLine="717"/>
              <w:jc w:val="both"/>
              <w:textAlignment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>ե. քաղաքացուն անհայտ բացակայող ճանաչելու գործերի վարույթը,</w:t>
            </w:r>
          </w:p>
          <w:p w:rsidR="000E23FC" w:rsidRPr="00420A4E" w:rsidRDefault="000E23FC" w:rsidP="009D1B47">
            <w:pPr>
              <w:ind w:firstLine="717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զ.</w:t>
            </w:r>
            <w:r w:rsidRPr="00420A4E">
              <w:rPr>
                <w:rFonts w:ascii="GHEA Grapalat" w:hAnsi="GHEA Grapalat"/>
                <w:sz w:val="22"/>
                <w:szCs w:val="22"/>
                <w:lang w:val="hy-AM"/>
              </w:rPr>
              <w:t xml:space="preserve"> ըստ ներկայացնողի կամ օրդերային կորցրած արժեթղթերով հավաստված իրավունքների վերականգնելու գործերի վարույթը,</w:t>
            </w:r>
          </w:p>
          <w:p w:rsidR="000E23FC" w:rsidRPr="00420A4E" w:rsidRDefault="000E23FC" w:rsidP="009D1B47">
            <w:pPr>
              <w:ind w:firstLine="717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է. իրավաբանական նշանակություն ունեցող փաստերի հաստատման վերաբերյալ գործերի վարույթը:</w:t>
            </w:r>
          </w:p>
          <w:p w:rsidR="000E23FC" w:rsidRPr="00420A4E" w:rsidRDefault="000E23FC" w:rsidP="000E23FC">
            <w:pPr>
              <w:spacing w:line="360" w:lineRule="auto"/>
              <w:ind w:firstLine="717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  <w:tc>
          <w:tcPr>
            <w:tcW w:w="3870" w:type="dxa"/>
          </w:tcPr>
          <w:p w:rsidR="000E23FC" w:rsidRPr="00420A4E" w:rsidRDefault="000E23FC" w:rsidP="009723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lastRenderedPageBreak/>
              <w:t>Նախագծում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նշվում է, որ թվարկված գործողությունները պարտադիր դատական կարգով հաստատելու պահանջը առաջացնում է քաղաքացիների արդարացված դժգոհությունը (քանի որ ժամանակատար և ծախսատար է), իսկ դրանց փոխանցումը նոտարներին 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հետապնդում է դատարանների ծանրաբեռնվածությունը թեթևացնելու նպատակ: Առաջարկը հիմնավորելու առումով կարծում ենք նպատակահարմար կլիներ ներկայացնել դատական վիճակագրություն առ այն, թե յուրաքանչյուր դատավոր տարեկան կամ ամսական կտրվածքով որքան նմանատիպ գործ է քննում (որքանով են այս գործերը նրանց ծանրաբեռնում), այդ գործերից քանիսն են հետագայում բողոքարկվում՝ պարզելու համար դրանց մեջ վիճահարույց գործերի տոկոսը (արդյունքում կարելի է մոտավոր պատկերացում կազմել,  թե նոտարներին այս լիազորությունները փոխանցելիս որքան հավանական գործ հետագայում կբողոքարկվի դատարան): Նախագծում չի խոսվում նաև այն մասին, թե այդ լիազորությունների իրականացումը նոտարների կողմից ինչպես կարող է կրճատել ժամկետները և ծախսերը:  </w:t>
            </w:r>
          </w:p>
          <w:p w:rsidR="007A7AFF" w:rsidRPr="00420A4E" w:rsidRDefault="007A7AFF" w:rsidP="009723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A7AFF" w:rsidRPr="00420A4E" w:rsidRDefault="007A7AFF" w:rsidP="009723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A7AFF" w:rsidRPr="00420A4E" w:rsidRDefault="007A7AFF" w:rsidP="009723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A7AFF" w:rsidRPr="00420A4E" w:rsidRDefault="007A7AFF" w:rsidP="009723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A7AFF" w:rsidRPr="00420A4E" w:rsidRDefault="007A7AFF" w:rsidP="009723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E23FC" w:rsidRPr="00420A4E" w:rsidRDefault="000E23FC" w:rsidP="009723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>Կարևոր է ընդգծել մի հանգամանք ևս: նախագծին կից ներկայացված  ամփոփաթերթում հեղինակների կողմից, որպես շահագրգիռ մարմինների առաջարկների հակափաստարկ, նշվում է խնդրո առարկա իրավահարաբերութ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յուն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 xml:space="preserve">ներում </w:t>
            </w:r>
            <w:r w:rsidRPr="00420A4E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վեճի բացակայությունը</w:t>
            </w: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սակայն նախագծի տեքստում որևէ նշում չկա դրա մասին: Կարծում ենք, որ սա պետք է ամրագրվի որպես նոտարի կողմից նշված լիազորությունների իրականացման նախապայման: </w:t>
            </w:r>
          </w:p>
          <w:p w:rsidR="000E23FC" w:rsidRPr="00420A4E" w:rsidRDefault="000E23FC" w:rsidP="009723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Այս կետի հետ կապված, կարծում ենք, նպատակահարմար կլինի նաև ներկայացնել միջազգային փորձը: </w:t>
            </w:r>
          </w:p>
        </w:tc>
        <w:tc>
          <w:tcPr>
            <w:tcW w:w="3240" w:type="dxa"/>
          </w:tcPr>
          <w:p w:rsidR="009B43B6" w:rsidRPr="00420A4E" w:rsidRDefault="007A7AFF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lastRenderedPageBreak/>
              <w:t xml:space="preserve">Ընդունվել է: </w:t>
            </w:r>
            <w:r w:rsidR="009B43B6" w:rsidRPr="00420A4E">
              <w:rPr>
                <w:rFonts w:ascii="GHEA Grapalat" w:hAnsi="GHEA Grapalat"/>
                <w:sz w:val="22"/>
                <w:szCs w:val="22"/>
                <w:lang w:val="de-DE"/>
              </w:rPr>
              <w:t xml:space="preserve">ՀՀ ընդհանուր իրավասության առաջին ատյանի դատարաններում 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>1. քաղաքացիական կացության ակտերի գրառումների անճշտությունները պարզելու վերաբերյալ պահանջով`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lastRenderedPageBreak/>
              <w:t xml:space="preserve"> 2010 թվականի ընթացքում ստացվել է 14 քաղաքացիական գործ, որից 4-ով դիմումները վերադարձվել են, 8 գործով քննությունն ավարտվել է, իսկ 2-ը եղել են անավարտ:          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 xml:space="preserve">2011 թվականի ընթացքում ստացվել է 15 քաղաքացիական գործ, որից 3-ով դիմումները վերադարձվել են, իսկ 12 գործով քննությունն ավարտվել է: 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 xml:space="preserve">2012 թվականի ընթացքում ստացվել է 7 քաղաքացիական գործ, որից 2-ով դիմումները վերադարձվել են, իսկ 5 գործով քննությունն ավարտվել է: 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>2. գույքը տիրազուրկ ճանաչելու վերաբերյալ պահանջով`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 xml:space="preserve"> 2010 թվականի ընթացքում ստացվել է 56 քաղաքացիական գործ, որից 8-ով դիմումները վերադարձվել են, 35 գործով քննությունն ավարտվել է, իսկ 13-ը եղել են անավարտ:   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lastRenderedPageBreak/>
              <w:t>2011 թվականի ընթացքում ստացվել է 69 քաղաքացիական գործ, որից 6-ով դիմումները վերադարձվել են, 2-ով դիմումի ընդունումը մերժվել է, 50 գործով քննությունն ավարտվել է, իսկ 11-ը եղել են անավարտ: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 xml:space="preserve">2012 թվականի ընթացքում ստացվել է 81 քաղաքացիական գործ, որից 11-ով դիմումները վերադարձվել են, 57 գործով քննությունն ավարտվել է, իսկ 13-ը եղել են անավարտ: 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>3. երեխայի որդեգրման վերաբերյալ պահանջով`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 xml:space="preserve"> 2010 թվականի ընթացքում ստացվել է 144 քաղաքացիական գործ, որից 2-ով դիմումները վերադարձվել են, 1-ով դիմումի ընդունումը մերժվել է, 134 գործով քննությունն ավարտվել է, իսկ 7-ը եղել են անավարտ:   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 xml:space="preserve">2011 թվականի ընթացքում ստացվել է 126 քաղաքացիական գործ, որից </w:t>
            </w: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lastRenderedPageBreak/>
              <w:t xml:space="preserve">2-ով դիմումները վերադարձվել են, 110 գործով քննությունն ավարտվել է, իսկ 14-ը եղել են անավարտ:   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 xml:space="preserve">2012 թվականի ընթացքում ստացվել է 113 քաղաքացիական գործ, որից 3-ով դիմումները վերադարձվել են, 103 ժգործով քննությունն ավարտվել է, իսկ 7-ը եղել են անավարտ:   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>4. անչափահասին լրիվ գործունակ ճանաչելու (Էմանսիպացիա) վերաբերյալ պահանջով`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>2010 թվականի ընթացքում հիշյալ իրավահարաբերություններով վեճերի վերաբերյալ դիմումներ չեն ստացվել: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 xml:space="preserve">2011 թվականի ընթացքում ստացվել է 3 քաղաքացիական գործ, որից 2-ով գործի քննությունն ավարտվել է, իսկ 1-ը եղել է անավարտ:   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 xml:space="preserve">2012 թվականի ընթացքում` ստացվել է 1 քաղաքացիական գործ, որի քննությունն ավարտվել է:   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lastRenderedPageBreak/>
              <w:t>5. քաղաքացուն անհայտ բացակայող ճանաչելու վերաբերյալ պահանջով`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 xml:space="preserve">2010 թվականի ընթացքում ստացվել է 624 քաղաքացիական գործ, որից 61-ով դիմումները վերադարձվել են, 1-ով դիմումի ընդունումը մերժվել է, 463 գործով քննությունն ավարտվել է, իսկ 99-ը եղել են անավարտ:      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 xml:space="preserve">2011 թվականի ընթացքում ստացվել է 635 քաղաքացիական գործ, որից 77-ով դիմումները վերադարձվել են, 2-ով դիմումի ընդունումը մերժվել է, 460 գործով քննությունն ավարտվել է, իսկ 96-ը եղել են անավարտ:   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 xml:space="preserve">2012 թվականի ընթացքում ստացվել է 557 քաղաքացիական գործ, որից 68-ով դիմումները վերադարձվել են, 1-ով դիմումի ընդունումը մերժվել է, 392 գործով քննությունն ավարտվել է, իսկ 96-ը եղել են անավարտ:   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lastRenderedPageBreak/>
              <w:t>6. ըստ ներկայացնողի և օրդերային կորցրած արժեթղթերով</w:t>
            </w:r>
            <w:r w:rsidR="00420A4E" w:rsidRPr="00420A4E">
              <w:rPr>
                <w:rFonts w:ascii="GHEA Grapalat" w:hAnsi="GHEA Grapalat"/>
                <w:sz w:val="22"/>
                <w:szCs w:val="22"/>
                <w:lang w:val="de-DE"/>
              </w:rPr>
              <w:t xml:space="preserve"> հավաստված իրավունքները վերականգ</w:t>
            </w: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>նելու վերաբերյալ պահանջով`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>2010 թվականի ընթացքում ստացվել է 1 դիմում, որի քննությունն ավարտվել է:</w:t>
            </w:r>
          </w:p>
          <w:p w:rsidR="009B43B6" w:rsidRPr="00420A4E" w:rsidRDefault="009B43B6" w:rsidP="009B43B6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>2011 և 2012 թվականների ընթացքում հիշյալ իրավահարաբերությունների վերաբերյալ դիմումներ չեն ստացվել:</w:t>
            </w:r>
          </w:p>
          <w:p w:rsidR="00E17478" w:rsidRPr="00420A4E" w:rsidRDefault="00E17478" w:rsidP="00E17478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>Նման լուծման տարբերակներ տրված են.  օրին</w:t>
            </w:r>
            <w:r w:rsidR="009B43B6" w:rsidRPr="00420A4E">
              <w:rPr>
                <w:rFonts w:ascii="GHEA Grapalat" w:hAnsi="GHEA Grapalat"/>
                <w:sz w:val="22"/>
                <w:szCs w:val="22"/>
                <w:lang w:val="de-DE"/>
              </w:rPr>
              <w:t>ա</w:t>
            </w: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>կ՝</w:t>
            </w:r>
            <w:r w:rsidR="009B43B6" w:rsidRPr="00420A4E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420A4E">
              <w:rPr>
                <w:rFonts w:ascii="GHEA Grapalat" w:hAnsi="GHEA Grapalat"/>
                <w:sz w:val="22"/>
                <w:szCs w:val="22"/>
                <w:lang w:val="de-DE"/>
              </w:rPr>
              <w:t>Գերմանիայում և Ֆրանսիայում:</w:t>
            </w:r>
          </w:p>
          <w:p w:rsidR="00E17478" w:rsidRPr="00420A4E" w:rsidRDefault="00E17478" w:rsidP="00F15534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0E23FC" w:rsidRPr="00420A4E" w:rsidRDefault="000E23FC" w:rsidP="00E17478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</w:tc>
        <w:tc>
          <w:tcPr>
            <w:tcW w:w="2520" w:type="dxa"/>
          </w:tcPr>
          <w:p w:rsidR="000E23FC" w:rsidRPr="009B43B6" w:rsidRDefault="000E23FC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de-DE"/>
              </w:rPr>
            </w:pPr>
          </w:p>
          <w:p w:rsidR="007A7AFF" w:rsidRPr="009B43B6" w:rsidRDefault="007A7AFF" w:rsidP="007A7AFF">
            <w:pPr>
              <w:autoSpaceDE w:val="0"/>
              <w:autoSpaceDN w:val="0"/>
              <w:adjustRightInd w:val="0"/>
              <w:rPr>
                <w:rFonts w:ascii="GHEA Grapalat" w:hAnsi="GHEA Grapalat"/>
                <w:lang w:val="de-DE"/>
              </w:rPr>
            </w:pPr>
            <w:r w:rsidRPr="009B43B6">
              <w:rPr>
                <w:rFonts w:ascii="GHEA Grapalat" w:hAnsi="GHEA Grapalat"/>
                <w:lang w:val="en-US"/>
              </w:rPr>
              <w:t>Նախագծի</w:t>
            </w:r>
            <w:r w:rsidRPr="009B43B6">
              <w:rPr>
                <w:rFonts w:ascii="GHEA Grapalat" w:hAnsi="GHEA Grapalat"/>
                <w:lang w:val="de-DE"/>
              </w:rPr>
              <w:t xml:space="preserve"> 13)-</w:t>
            </w:r>
            <w:r w:rsidRPr="009B43B6">
              <w:rPr>
                <w:rFonts w:ascii="GHEA Grapalat" w:hAnsi="GHEA Grapalat"/>
                <w:lang w:val="en-US"/>
              </w:rPr>
              <w:t>րդ</w:t>
            </w:r>
            <w:r w:rsidRPr="009B43B6">
              <w:rPr>
                <w:rFonts w:ascii="GHEA Grapalat" w:hAnsi="GHEA Grapalat"/>
                <w:lang w:val="de-DE"/>
              </w:rPr>
              <w:t xml:space="preserve"> </w:t>
            </w:r>
            <w:r w:rsidRPr="009B43B6">
              <w:rPr>
                <w:rFonts w:ascii="GHEA Grapalat" w:hAnsi="GHEA Grapalat"/>
                <w:lang w:val="en-US"/>
              </w:rPr>
              <w:t>կետում</w:t>
            </w:r>
            <w:r w:rsidRPr="009B43B6">
              <w:rPr>
                <w:rFonts w:ascii="GHEA Grapalat" w:hAnsi="GHEA Grapalat"/>
                <w:lang w:val="de-DE"/>
              </w:rPr>
              <w:t xml:space="preserve"> </w:t>
            </w:r>
            <w:r w:rsidRPr="009B43B6">
              <w:rPr>
                <w:rFonts w:ascii="GHEA Grapalat" w:hAnsi="GHEA Grapalat"/>
                <w:lang w:val="en-US"/>
              </w:rPr>
              <w:t>կատարվել</w:t>
            </w:r>
            <w:r w:rsidRPr="009B43B6">
              <w:rPr>
                <w:rFonts w:ascii="GHEA Grapalat" w:hAnsi="GHEA Grapalat"/>
                <w:lang w:val="de-DE"/>
              </w:rPr>
              <w:t xml:space="preserve"> </w:t>
            </w:r>
            <w:r w:rsidRPr="009B43B6">
              <w:rPr>
                <w:rFonts w:ascii="GHEA Grapalat" w:hAnsi="GHEA Grapalat"/>
                <w:lang w:val="en-US"/>
              </w:rPr>
              <w:t>են</w:t>
            </w:r>
            <w:r w:rsidRPr="009B43B6">
              <w:rPr>
                <w:rFonts w:ascii="GHEA Grapalat" w:hAnsi="GHEA Grapalat"/>
                <w:lang w:val="de-DE"/>
              </w:rPr>
              <w:t xml:space="preserve"> h</w:t>
            </w:r>
            <w:r w:rsidRPr="009B43B6">
              <w:rPr>
                <w:rFonts w:ascii="GHEA Grapalat" w:hAnsi="GHEA Grapalat"/>
                <w:lang w:val="en-US"/>
              </w:rPr>
              <w:t>ամապատասխան</w:t>
            </w:r>
            <w:r w:rsidRPr="009B43B6">
              <w:rPr>
                <w:rFonts w:ascii="GHEA Grapalat" w:hAnsi="GHEA Grapalat"/>
                <w:lang w:val="de-DE"/>
              </w:rPr>
              <w:t xml:space="preserve"> </w:t>
            </w:r>
            <w:r w:rsidRPr="009B43B6">
              <w:rPr>
                <w:rFonts w:ascii="GHEA Grapalat" w:hAnsi="GHEA Grapalat"/>
                <w:lang w:val="en-US"/>
              </w:rPr>
              <w:t>փոփոխություններ</w:t>
            </w:r>
            <w:r w:rsidRPr="009B43B6">
              <w:rPr>
                <w:rFonts w:ascii="GHEA Grapalat" w:hAnsi="GHEA Grapalat"/>
                <w:lang w:val="de-DE"/>
              </w:rPr>
              <w:t>:</w:t>
            </w:r>
          </w:p>
        </w:tc>
      </w:tr>
      <w:tr w:rsidR="000E23FC" w:rsidRPr="009B43B6" w:rsidTr="00617ED3">
        <w:trPr>
          <w:trHeight w:val="56"/>
        </w:trPr>
        <w:tc>
          <w:tcPr>
            <w:tcW w:w="720" w:type="dxa"/>
          </w:tcPr>
          <w:p w:rsidR="000E23FC" w:rsidRPr="009B43B6" w:rsidRDefault="000E23FC" w:rsidP="000E23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160" w:type="dxa"/>
          </w:tcPr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 կառավարություն/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Պետաիրավական վարչությ</w:t>
            </w: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ուն</w:t>
            </w:r>
          </w:p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9B43B6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02.05.2013</w:t>
            </w:r>
          </w:p>
          <w:p w:rsidR="00AC6C11" w:rsidRPr="009B43B6" w:rsidRDefault="00AC6C11" w:rsidP="00AC6C1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9B43B6">
              <w:rPr>
                <w:rFonts w:ascii="GHEA Grapalat" w:hAnsi="GHEA Grapalat"/>
                <w:color w:val="000000"/>
                <w:sz w:val="26"/>
                <w:szCs w:val="26"/>
                <w:shd w:val="clear" w:color="auto" w:fill="FFFFFF"/>
              </w:rPr>
              <w:t>02/16.6/5971-13</w:t>
            </w:r>
          </w:p>
          <w:p w:rsidR="000E23FC" w:rsidRPr="009B43B6" w:rsidRDefault="000E23FC" w:rsidP="000E23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690" w:type="dxa"/>
          </w:tcPr>
          <w:p w:rsidR="000E23FC" w:rsidRPr="00420A4E" w:rsidRDefault="000E23FC" w:rsidP="009D1B47">
            <w:pPr>
              <w:ind w:firstLine="717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13) նոտարական գրասենյակները (հատուկ ստեղծված սպասարկման գրասենյակների, փաստաբանական գրասենյակների, իսկ որոշ դեպքերում՝ բանկերի, փոստային գրասենյակների, տեղական ինքնակառավարման 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lastRenderedPageBreak/>
              <w:t xml:space="preserve">մարմինների և այլն, հետ համատեղ) կարող են իրականացնել պետության կողմից վարվող </w:t>
            </w:r>
            <w:r w:rsidRPr="00420A4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ռեգիստրների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420A4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սպասարկման գործառույթը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(փաստաթղթերի մուտքագրում, ստանդարտ փաստաթղթերի ստեղծում, համակարգի կողմից պատրաստված փաստաթղթերի հանձնում քաղաքացիներին և այլն): Նաև նոտարներին պետք է զուգահեռ հանձնվի </w:t>
            </w:r>
            <w:r w:rsidRPr="00420A4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ՔԿԱԳ որոշ գործառույթների իրականացում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՝ ամուսնության</w:t>
            </w:r>
            <w:r w:rsidR="006A436D"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,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ամուսնալուծության, հայրության որոշմ</w:t>
            </w:r>
            <w:r w:rsidR="006A436D"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ան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, արտադատարանական կարգով որդեգրմ</w:t>
            </w:r>
            <w:r w:rsidR="006A436D"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ան պետական գրանցում</w:t>
            </w:r>
            <w:r w:rsidR="00553A5D"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</w:p>
          <w:p w:rsidR="000E23FC" w:rsidRPr="00420A4E" w:rsidRDefault="000E23FC" w:rsidP="000E23FC">
            <w:pPr>
              <w:spacing w:line="360" w:lineRule="auto"/>
              <w:ind w:firstLine="717"/>
              <w:jc w:val="both"/>
              <w:textAlignment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  <w:tc>
          <w:tcPr>
            <w:tcW w:w="3870" w:type="dxa"/>
          </w:tcPr>
          <w:p w:rsidR="000E23FC" w:rsidRPr="00420A4E" w:rsidRDefault="000E23FC" w:rsidP="0097238E">
            <w:pPr>
              <w:jc w:val="both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lastRenderedPageBreak/>
              <w:t xml:space="preserve">Սույն կետի հետ կապված ևս, ինչպես նախորդ կետի առաջարկի առնչությամբ նշվեց, գտնում ենք, որ որպես նոտարների կողմից ՔԿԱԳ որոշ գործառույթների իրականացման նախապայման պետք է ամրագրվի  </w:t>
            </w:r>
            <w:r w:rsidRPr="00420A4E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 xml:space="preserve">վեճի բացակայությունը: </w:t>
            </w:r>
          </w:p>
          <w:p w:rsidR="000E23FC" w:rsidRPr="00420A4E" w:rsidRDefault="000E23FC" w:rsidP="000E23FC">
            <w:pPr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Բացի այդ, անհրաժեշտ է </w:t>
            </w:r>
            <w:r w:rsidRPr="00420A4E">
              <w:rPr>
                <w:rFonts w:ascii="GHEA Grapalat" w:hAnsi="GHEA Grapalat"/>
                <w:bCs/>
                <w:sz w:val="22"/>
                <w:szCs w:val="22"/>
                <w:lang w:val="hy-AM"/>
              </w:rPr>
              <w:lastRenderedPageBreak/>
              <w:t>հստակեցնել, թե խոսքը հայրության որոշմա՞ն, թե հայրության պետական գրանցման մասին է, արտադատական կարգով որդեգրմա՞ն, թե որդեգրման պետական գրանցման մասին է, քանի որ ՔԿԱԳ մարմիններն իրականացնում են հայրության և որդեգրման պետական գրանցում, այլ ոչ թե որոշում են երեխայի հայրությունը կամ իրականացնում որդեգրում:</w:t>
            </w:r>
          </w:p>
        </w:tc>
        <w:tc>
          <w:tcPr>
            <w:tcW w:w="3240" w:type="dxa"/>
          </w:tcPr>
          <w:p w:rsidR="000E23FC" w:rsidRPr="009B43B6" w:rsidRDefault="008F6A76" w:rsidP="009B43B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9B43B6">
              <w:rPr>
                <w:rFonts w:ascii="GHEA Grapalat" w:hAnsi="GHEA Grapalat"/>
                <w:lang w:val="hy-AM"/>
              </w:rPr>
              <w:lastRenderedPageBreak/>
              <w:t>Ընդունվել է ի գիտություն: Խոսքը գնում է միայն սպասարկման</w:t>
            </w:r>
            <w:r w:rsidR="009B43B6" w:rsidRPr="009B43B6">
              <w:rPr>
                <w:rFonts w:ascii="GHEA Grapalat" w:hAnsi="GHEA Grapalat"/>
                <w:lang w:val="hy-AM"/>
              </w:rPr>
              <w:t xml:space="preserve"> </w:t>
            </w:r>
            <w:r w:rsidRPr="009B43B6">
              <w:rPr>
                <w:rFonts w:ascii="GHEA Grapalat" w:hAnsi="GHEA Grapalat"/>
                <w:lang w:val="hy-AM"/>
              </w:rPr>
              <w:t>գործառույթների իրականացման մասին:</w:t>
            </w:r>
          </w:p>
        </w:tc>
        <w:tc>
          <w:tcPr>
            <w:tcW w:w="2520" w:type="dxa"/>
          </w:tcPr>
          <w:p w:rsidR="000E23FC" w:rsidRPr="009B43B6" w:rsidRDefault="00CE3FEC" w:rsidP="000E23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B43B6">
              <w:rPr>
                <w:rFonts w:ascii="GHEA Grapalat" w:hAnsi="GHEA Grapalat"/>
                <w:lang w:val="en-US"/>
              </w:rPr>
              <w:t>Նախագծում փոփոխություններ չեն կատարվել:</w:t>
            </w:r>
          </w:p>
        </w:tc>
      </w:tr>
    </w:tbl>
    <w:p w:rsidR="000B2C11" w:rsidRPr="009B43B6" w:rsidRDefault="000B2C11">
      <w:pPr>
        <w:rPr>
          <w:rFonts w:ascii="GHEA Grapalat" w:hAnsi="GHEA Grapalat"/>
          <w:lang w:val="hy-AM"/>
        </w:rPr>
      </w:pPr>
    </w:p>
    <w:sectPr w:rsidR="000B2C11" w:rsidRPr="009B43B6" w:rsidSect="00B13D8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03F00"/>
    <w:multiLevelType w:val="hybridMultilevel"/>
    <w:tmpl w:val="0610E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characterSpacingControl w:val="doNotCompress"/>
  <w:compat/>
  <w:rsids>
    <w:rsidRoot w:val="00B13D81"/>
    <w:rsid w:val="00005077"/>
    <w:rsid w:val="00071BF1"/>
    <w:rsid w:val="000B2C11"/>
    <w:rsid w:val="000E23FC"/>
    <w:rsid w:val="00145E71"/>
    <w:rsid w:val="00273220"/>
    <w:rsid w:val="002A129D"/>
    <w:rsid w:val="002F19AE"/>
    <w:rsid w:val="00356B89"/>
    <w:rsid w:val="003A18F0"/>
    <w:rsid w:val="003B7EDC"/>
    <w:rsid w:val="00416E6E"/>
    <w:rsid w:val="00420A4E"/>
    <w:rsid w:val="004C651D"/>
    <w:rsid w:val="005042A1"/>
    <w:rsid w:val="00553A5D"/>
    <w:rsid w:val="005925D8"/>
    <w:rsid w:val="005C4C31"/>
    <w:rsid w:val="005E09AE"/>
    <w:rsid w:val="00617ED3"/>
    <w:rsid w:val="006A436D"/>
    <w:rsid w:val="006B64A7"/>
    <w:rsid w:val="006B6AEF"/>
    <w:rsid w:val="00731C04"/>
    <w:rsid w:val="007A7AFF"/>
    <w:rsid w:val="008311FE"/>
    <w:rsid w:val="008F6A76"/>
    <w:rsid w:val="0097238E"/>
    <w:rsid w:val="009B43B6"/>
    <w:rsid w:val="009D1B47"/>
    <w:rsid w:val="00A37A70"/>
    <w:rsid w:val="00A4341D"/>
    <w:rsid w:val="00A7365F"/>
    <w:rsid w:val="00A93E71"/>
    <w:rsid w:val="00AA7038"/>
    <w:rsid w:val="00AC6C11"/>
    <w:rsid w:val="00B13D81"/>
    <w:rsid w:val="00B320DF"/>
    <w:rsid w:val="00C11D3C"/>
    <w:rsid w:val="00C44C90"/>
    <w:rsid w:val="00C73B4E"/>
    <w:rsid w:val="00CC5FD2"/>
    <w:rsid w:val="00CD4B07"/>
    <w:rsid w:val="00CE3FEC"/>
    <w:rsid w:val="00D01885"/>
    <w:rsid w:val="00D16663"/>
    <w:rsid w:val="00D4540C"/>
    <w:rsid w:val="00DB1C5E"/>
    <w:rsid w:val="00DF1BF6"/>
    <w:rsid w:val="00E17478"/>
    <w:rsid w:val="00E675D5"/>
    <w:rsid w:val="00EA1D32"/>
    <w:rsid w:val="00F15534"/>
    <w:rsid w:val="00F73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35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5E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E7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8A012-756E-41DD-9B8F-53B8CC32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Ani Hakobyan</cp:lastModifiedBy>
  <cp:revision>2</cp:revision>
  <dcterms:created xsi:type="dcterms:W3CDTF">2013-12-18T10:34:00Z</dcterms:created>
  <dcterms:modified xsi:type="dcterms:W3CDTF">2013-12-18T10:34:00Z</dcterms:modified>
</cp:coreProperties>
</file>