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46" w:rsidRPr="00754FBB" w:rsidRDefault="00410446" w:rsidP="00410446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754FBB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ՈՐՈՇՈՒՄ</w:t>
      </w:r>
    </w:p>
    <w:p w:rsidR="00754FBB" w:rsidRPr="00754FBB" w:rsidRDefault="00754FBB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A2303F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-----------    2014</w:t>
      </w:r>
      <w:r w:rsidR="00410446" w:rsidRPr="00754FBB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="00410446" w:rsidRPr="00754FBB">
        <w:rPr>
          <w:rFonts w:ascii="GHEA Grapalat" w:hAnsi="GHEA Grapalat"/>
          <w:sz w:val="24"/>
          <w:szCs w:val="24"/>
        </w:rPr>
        <w:t>№</w:t>
      </w:r>
      <w:r w:rsidR="00410446" w:rsidRPr="00754FBB">
        <w:rPr>
          <w:rFonts w:ascii="GHEA Grapalat" w:hAnsi="GHEA Grapalat"/>
          <w:b/>
          <w:sz w:val="24"/>
          <w:szCs w:val="24"/>
        </w:rPr>
        <w:t>_____</w:t>
      </w:r>
      <w:r w:rsidR="00410446" w:rsidRPr="00754FBB">
        <w:rPr>
          <w:rFonts w:ascii="GHEA Grapalat" w:hAnsi="GHEA Grapalat" w:cs="Sylfaen"/>
          <w:b/>
          <w:sz w:val="24"/>
          <w:szCs w:val="24"/>
        </w:rPr>
        <w:t>Ա</w:t>
      </w:r>
    </w:p>
    <w:p w:rsidR="00754FBB" w:rsidRDefault="00754FBB" w:rsidP="00410446">
      <w:pPr>
        <w:tabs>
          <w:tab w:val="left" w:pos="385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 xml:space="preserve">&lt;&lt;ՎԱՆԴ–ՍԱ&gt;&gt; </w:t>
      </w:r>
      <w:r w:rsidRPr="00754FBB">
        <w:rPr>
          <w:rFonts w:ascii="GHEA Grapalat" w:hAnsi="GHEA Grapalat" w:cs="Sylfaen"/>
          <w:b/>
          <w:sz w:val="24"/>
          <w:szCs w:val="24"/>
        </w:rPr>
        <w:t>ՍԱՀՄԱՆԱՓԱԿ ՊԱՏԱՍԽԱՆԱՏՎՈւԹՅԱՄԲ ԸՆԿԵՐՈւԹՅԱՆԸ ՊԱՅԹՈւՑԻԿ ՆՅՈւԹԵՐ ԵՎ ՊԱՅԹԵՑՄԱՆ  ՄԻՋՈՑՆԵՐ ՆԵՐՄՈւԾԵԼՈւ ԹՈւՅԼՏՎՈւԹՅՈւՆ ՏԱԼՈւ ՄԱՍԻՆ</w:t>
      </w:r>
    </w:p>
    <w:p w:rsidR="00410446" w:rsidRPr="00754FBB" w:rsidRDefault="00410446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>որոշման 8-րդ կետին համապատասխան, հաշվի առնելով Հայաստանի Հանրապետության կառավարության 2012 թվականի մայիսի 31-ի N 706-Ն որոշումը՝  Հայաստանի Հանրապետության կառավարությունը որոշում է.</w:t>
      </w:r>
    </w:p>
    <w:p w:rsidR="00410446" w:rsidRPr="00754FBB" w:rsidRDefault="00410446" w:rsidP="00410446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 w:rsidRPr="00754FBB">
        <w:rPr>
          <w:rFonts w:ascii="GHEA Grapalat" w:hAnsi="GHEA Grapalat"/>
          <w:lang w:val="en-US"/>
        </w:rPr>
        <w:t xml:space="preserve">        </w:t>
      </w:r>
      <w:r w:rsidRPr="00754FBB">
        <w:rPr>
          <w:rFonts w:ascii="GHEA Grapalat" w:hAnsi="GHEA Grapalat"/>
          <w:lang w:val="en-US"/>
        </w:rPr>
        <w:tab/>
        <w:t xml:space="preserve">1. </w:t>
      </w:r>
      <w:r w:rsidRPr="00754FBB">
        <w:rPr>
          <w:rFonts w:ascii="GHEA Grapalat" w:hAnsi="GHEA Grapalat" w:cs="Sylfaen"/>
        </w:rPr>
        <w:t>Թույլատրել</w:t>
      </w:r>
      <w:r w:rsidRPr="00754FBB">
        <w:rPr>
          <w:rFonts w:ascii="GHEA Grapalat" w:hAnsi="GHEA Grapalat" w:cs="Sylfaen"/>
          <w:lang w:val="en-US"/>
        </w:rPr>
        <w:t xml:space="preserve"> &lt;&lt;ՎԱՆԴ-ՍԱ&gt;&gt; </w:t>
      </w:r>
      <w:r w:rsidRPr="00754FBB">
        <w:rPr>
          <w:rFonts w:ascii="GHEA Grapalat" w:hAnsi="GHEA Grapalat" w:cs="Sylfaen"/>
        </w:rPr>
        <w:t>սահմանափակ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պատասխանատվությամբ</w:t>
      </w:r>
      <w:r w:rsidRPr="00754FBB">
        <w:rPr>
          <w:rFonts w:ascii="GHEA Grapalat" w:hAnsi="GHEA Grapalat" w:cs="Sylfaen"/>
          <w:lang w:val="en-US"/>
        </w:rPr>
        <w:t xml:space="preserve"> ը</w:t>
      </w:r>
      <w:r w:rsidRPr="00754FBB">
        <w:rPr>
          <w:rFonts w:ascii="GHEA Grapalat" w:hAnsi="GHEA Grapalat" w:cs="Sylfaen"/>
        </w:rPr>
        <w:t>նկերությանը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մինչև</w:t>
      </w:r>
      <w:r w:rsidRPr="00754FBB">
        <w:rPr>
          <w:rFonts w:ascii="GHEA Grapalat" w:hAnsi="GHEA Grapalat" w:cs="Sylfaen"/>
          <w:lang w:val="en-US"/>
        </w:rPr>
        <w:t xml:space="preserve"> 201</w:t>
      </w:r>
      <w:r w:rsidR="00361538" w:rsidRPr="00754FBB">
        <w:rPr>
          <w:rFonts w:ascii="GHEA Grapalat" w:hAnsi="GHEA Grapalat" w:cs="Sylfaen"/>
          <w:lang w:val="en-US"/>
        </w:rPr>
        <w:t>5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թվականի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դեկտեմբերի</w:t>
      </w:r>
      <w:r w:rsidRPr="00754FBB">
        <w:rPr>
          <w:rFonts w:ascii="GHEA Grapalat" w:hAnsi="GHEA Grapalat" w:cs="Sylfaen"/>
          <w:lang w:val="en-US"/>
        </w:rPr>
        <w:t xml:space="preserve"> 31-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Հայաստանի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Հանրապետություն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ներմուծել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հետևյալ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պայթուցիկ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նյութերը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և</w:t>
      </w:r>
      <w:r w:rsidRPr="00754FBB">
        <w:rPr>
          <w:rFonts w:ascii="GHEA Grapalat" w:hAnsi="GHEA Grapalat" w:cs="Sylfaen"/>
          <w:lang w:val="en-US"/>
        </w:rPr>
        <w:t xml:space="preserve">  </w:t>
      </w:r>
      <w:r w:rsidRPr="00754FBB">
        <w:rPr>
          <w:rFonts w:ascii="GHEA Grapalat" w:hAnsi="GHEA Grapalat" w:cs="Sylfaen"/>
        </w:rPr>
        <w:t>պայթեցման</w:t>
      </w:r>
      <w:r w:rsidRPr="00754FBB">
        <w:rPr>
          <w:rFonts w:ascii="GHEA Grapalat" w:hAnsi="GHEA Grapalat" w:cs="Sylfaen"/>
          <w:lang w:val="en-US"/>
        </w:rPr>
        <w:t xml:space="preserve"> միջոցներ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>.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361538" w:rsidRPr="00754FBB">
        <w:rPr>
          <w:rFonts w:ascii="GHEA Grapalat" w:hAnsi="GHEA Grapalat" w:cs="Sylfaen"/>
          <w:sz w:val="24"/>
          <w:szCs w:val="24"/>
        </w:rPr>
        <w:t>1</w:t>
      </w:r>
      <w:r w:rsidRPr="00754FBB">
        <w:rPr>
          <w:rFonts w:ascii="GHEA Grapalat" w:hAnsi="GHEA Grapalat" w:cs="Sylfaen"/>
          <w:sz w:val="24"/>
          <w:szCs w:val="24"/>
        </w:rPr>
        <w:t>) Պայթուցիկ նյութ &lt;&lt;Ամոնիտ&gt;&gt;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ա. Ամոնիտ 6 ԺՎ Դ-32 փամփուշտ                                                         400 տոննա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 բ.</w:t>
      </w:r>
      <w:r w:rsidR="00010F3E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Ամոնիտ 6 ԺՎ փոշիացված                                                                </w:t>
      </w:r>
      <w:r w:rsidR="00361538" w:rsidRPr="00754FBB">
        <w:rPr>
          <w:rFonts w:ascii="GHEA Grapalat" w:hAnsi="GHEA Grapalat" w:cs="Sylfaen"/>
          <w:sz w:val="24"/>
          <w:szCs w:val="24"/>
        </w:rPr>
        <w:t>20</w:t>
      </w:r>
      <w:r w:rsidRPr="00754FBB">
        <w:rPr>
          <w:rFonts w:ascii="GHEA Grapalat" w:hAnsi="GHEA Grapalat" w:cs="Sylfaen"/>
          <w:sz w:val="24"/>
          <w:szCs w:val="24"/>
        </w:rPr>
        <w:t>0 տոննա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604509" w:rsidRPr="00754FBB">
        <w:rPr>
          <w:rFonts w:ascii="GHEA Grapalat" w:hAnsi="GHEA Grapalat" w:cs="Sylfaen"/>
          <w:sz w:val="24"/>
          <w:szCs w:val="24"/>
        </w:rPr>
        <w:t>2</w:t>
      </w:r>
      <w:r w:rsidRPr="00754FBB">
        <w:rPr>
          <w:rFonts w:ascii="GHEA Grapalat" w:hAnsi="GHEA Grapalat" w:cs="Sylfaen"/>
          <w:sz w:val="24"/>
          <w:szCs w:val="24"/>
        </w:rPr>
        <w:t>) էլեկտրադետոնատոր(0-3000մվրկ) /Ele</w:t>
      </w:r>
      <w:r w:rsidR="00235E79">
        <w:rPr>
          <w:rFonts w:ascii="GHEA Grapalat" w:hAnsi="GHEA Grapalat" w:cs="Sylfaen"/>
          <w:b/>
          <w:sz w:val="24"/>
          <w:szCs w:val="24"/>
        </w:rPr>
        <w:t>c</w:t>
      </w:r>
      <w:r w:rsidRPr="00754FBB">
        <w:rPr>
          <w:rFonts w:ascii="GHEA Grapalat" w:hAnsi="GHEA Grapalat" w:cs="Sylfaen"/>
          <w:sz w:val="24"/>
          <w:szCs w:val="24"/>
        </w:rPr>
        <w:t xml:space="preserve">tric detonator (0-3000 ms)    500000 հատ 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604509" w:rsidRPr="00754FBB">
        <w:rPr>
          <w:rFonts w:ascii="GHEA Grapalat" w:hAnsi="GHEA Grapalat" w:cs="Sylfaen"/>
          <w:sz w:val="24"/>
          <w:szCs w:val="24"/>
        </w:rPr>
        <w:t>3</w:t>
      </w:r>
      <w:r w:rsidRPr="00754FBB">
        <w:rPr>
          <w:rFonts w:ascii="GHEA Grapalat" w:hAnsi="GHEA Grapalat" w:cs="Sylfaen"/>
          <w:sz w:val="24"/>
          <w:szCs w:val="24"/>
        </w:rPr>
        <w:t xml:space="preserve">) Դետոնացիոն քուղ (5-80)գ/մ /Detonating cord (5-80) g/m                  </w:t>
      </w:r>
      <w:r w:rsidR="00361538" w:rsidRPr="00754FBB">
        <w:rPr>
          <w:rFonts w:ascii="GHEA Grapalat" w:hAnsi="GHEA Grapalat" w:cs="Sylfaen"/>
          <w:sz w:val="24"/>
          <w:szCs w:val="24"/>
        </w:rPr>
        <w:t>3</w:t>
      </w:r>
      <w:r w:rsidRPr="00754FBB">
        <w:rPr>
          <w:rFonts w:ascii="GHEA Grapalat" w:hAnsi="GHEA Grapalat" w:cs="Sylfaen"/>
          <w:sz w:val="24"/>
          <w:szCs w:val="24"/>
        </w:rPr>
        <w:t>00000 մետր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604509" w:rsidRPr="00754FBB">
        <w:rPr>
          <w:rFonts w:ascii="GHEA Grapalat" w:hAnsi="GHEA Grapalat" w:cs="Sylfaen"/>
          <w:sz w:val="24"/>
          <w:szCs w:val="24"/>
        </w:rPr>
        <w:t>4</w:t>
      </w:r>
      <w:r w:rsidRPr="00754FBB">
        <w:rPr>
          <w:rFonts w:ascii="GHEA Grapalat" w:hAnsi="GHEA Grapalat" w:cs="Sylfaen"/>
          <w:sz w:val="24"/>
          <w:szCs w:val="24"/>
        </w:rPr>
        <w:t>) Թվային էլեկտրոնային դետոնատորներ լրակազմով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ա. Այ-կոն դետոնատոր / i-kon Detonator                                                100000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բ. Յունի Տրոնիկ 500 դետոնատոր /Uni Tronic 500 Detonator                100000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lastRenderedPageBreak/>
        <w:tab/>
        <w:t>գ. Յունի Տրոնիկ  դետոնատոր /Uni Tronic  Detonator                           100000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դ. Այ կոն Լոգգեր / i-kon Logger                                                                   10 հատ 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ե.Այ-կոն Բլաստեր /i-kon  Blaster                                                                  10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զ. Յունի Տրոնիկ Սկաններ / Uni Tronic Scanner                                            10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է. Յունի Տրոնիկ Նետվորկ Տեստեր /Uni Tronic Network Tester                      10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ը.Յունի Տրոնիկ Բլաստեր /Uni Tronic Blaster                                               10 հատ                      </w:t>
      </w:r>
    </w:p>
    <w:p w:rsidR="00410446" w:rsidRPr="00754FBB" w:rsidRDefault="00410446" w:rsidP="00410446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 xml:space="preserve">2.Հայաստանի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Հանրապետության արտակարգ իրավիճակների նախարարին, </w:t>
      </w:r>
      <w:r w:rsidR="00754FBB" w:rsidRPr="00754FBB">
        <w:rPr>
          <w:rFonts w:ascii="GHEA Grapalat" w:hAnsi="GHEA Grapalat" w:cs="Sylfaen"/>
          <w:sz w:val="24"/>
          <w:szCs w:val="24"/>
        </w:rPr>
        <w:t xml:space="preserve">Հայաստանի Հանրապետության ֆինանսների նախարարին, </w:t>
      </w: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&lt;&lt;ՎԱՆԴ-ՍԱ&gt;&gt; սահմանափակ պատասխանատվությամբ ընկերության կողմից ներմուծվող պայթուցիկ նյութերի և պայթեցման միջոցների ստացման, փոխադրման, պահեստավորման, պահպանության և անվտանգության պայմանների նկատմամբ վերահսկողությունը: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754FBB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754FBB">
        <w:rPr>
          <w:rFonts w:ascii="GHEA Grapalat" w:hAnsi="GHEA Grapalat" w:cs="Sylfaen"/>
          <w:szCs w:val="24"/>
        </w:rPr>
        <w:t>ներմուծված պայթուցիկ նյութերը և պայթեցման միջոցները երրորդ կողմին  փոխանցելու դեպքում &lt;&lt;ՎԱՆԴ-ՍԱ&gt;&gt; սահմանափակ պատասխանատվությամբ ընկերությ</w:t>
      </w:r>
      <w:r w:rsidRPr="00754FBB">
        <w:rPr>
          <w:rFonts w:ascii="GHEA Grapalat" w:hAnsi="GHEA Grapalat" w:cs="Sylfaen"/>
          <w:szCs w:val="24"/>
          <w:lang w:val="ru-RU"/>
        </w:rPr>
        <w:t>ունը</w:t>
      </w:r>
      <w:r w:rsidRPr="00754FBB">
        <w:rPr>
          <w:rFonts w:ascii="GHEA Grapalat" w:hAnsi="GHEA Grapalat" w:cs="Sylfaen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 և քանակի մասին: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754FBB">
        <w:rPr>
          <w:rFonts w:ascii="GHEA Grapalat" w:hAnsi="GHEA Grapalat" w:cs="Sylfaen"/>
          <w:szCs w:val="24"/>
        </w:rPr>
        <w:t xml:space="preserve">4. Հայաստանի Հանրապետության էկոնոմիկայի նախարարին՝ սույն որոշումն ուժի մեջ մտնելուց հետո  Հայաստանի  Հանրապետության կառավարության 2012 թվականի </w:t>
      </w:r>
      <w:r w:rsidRPr="00754FBB">
        <w:rPr>
          <w:rFonts w:ascii="GHEA Grapalat" w:hAnsi="GHEA Grapalat" w:cs="Sylfaen"/>
          <w:szCs w:val="24"/>
        </w:rPr>
        <w:lastRenderedPageBreak/>
        <w:t>մայիսի 31-ի N 706-Ն որոշմամբ սահմանված կարգով և ժամկետում ապահովել &lt;&lt;ՎԱՆԴ-ՍԱ&gt;&gt; սահմանափակ պատասխանատվությամբ ընկերությա</w:t>
      </w:r>
      <w:r w:rsidRPr="00754FBB">
        <w:rPr>
          <w:rFonts w:ascii="GHEA Grapalat" w:hAnsi="GHEA Grapalat" w:cs="Sylfaen"/>
          <w:szCs w:val="24"/>
          <w:lang w:val="ru-RU"/>
        </w:rPr>
        <w:t>նը</w:t>
      </w:r>
      <w:r w:rsidRPr="00754FBB">
        <w:rPr>
          <w:rFonts w:ascii="GHEA Grapalat" w:hAnsi="GHEA Grapalat" w:cs="Sylfaen"/>
          <w:szCs w:val="24"/>
        </w:rPr>
        <w:t xml:space="preserve"> պայթուցիկ նյութերի և պայթեցման միջոցների ներմուծման և վերջնական օգտագործողի հավաստագրերի տրամադրումը:</w:t>
      </w:r>
    </w:p>
    <w:p w:rsidR="00410446" w:rsidRPr="00754FBB" w:rsidRDefault="00410446" w:rsidP="00410446">
      <w:pPr>
        <w:spacing w:line="480" w:lineRule="auto"/>
        <w:jc w:val="both"/>
        <w:rPr>
          <w:rFonts w:ascii="GHEA Grapalat" w:hAnsi="GHEA Grapalat"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sectPr w:rsidR="00754FBB" w:rsidSect="00A86CC3">
      <w:pgSz w:w="11906" w:h="16838"/>
      <w:pgMar w:top="1134" w:right="567" w:bottom="1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0446"/>
    <w:rsid w:val="00010F3E"/>
    <w:rsid w:val="00081CA5"/>
    <w:rsid w:val="001156D7"/>
    <w:rsid w:val="001F79BF"/>
    <w:rsid w:val="00235E79"/>
    <w:rsid w:val="002E5E51"/>
    <w:rsid w:val="0036136D"/>
    <w:rsid w:val="00361538"/>
    <w:rsid w:val="00410446"/>
    <w:rsid w:val="0047727F"/>
    <w:rsid w:val="004A5884"/>
    <w:rsid w:val="00515D75"/>
    <w:rsid w:val="00593BEA"/>
    <w:rsid w:val="00593C91"/>
    <w:rsid w:val="00604509"/>
    <w:rsid w:val="006515E2"/>
    <w:rsid w:val="00695F7A"/>
    <w:rsid w:val="006A5A54"/>
    <w:rsid w:val="006E0D2E"/>
    <w:rsid w:val="00754FBB"/>
    <w:rsid w:val="00810D68"/>
    <w:rsid w:val="00992BD2"/>
    <w:rsid w:val="00A2303F"/>
    <w:rsid w:val="00A27278"/>
    <w:rsid w:val="00A86CC3"/>
    <w:rsid w:val="00AA4EDA"/>
    <w:rsid w:val="00BA3BAD"/>
    <w:rsid w:val="00CF5185"/>
    <w:rsid w:val="00D26824"/>
    <w:rsid w:val="00DC36C4"/>
    <w:rsid w:val="00DE14AB"/>
    <w:rsid w:val="00E15837"/>
    <w:rsid w:val="00ED497D"/>
    <w:rsid w:val="00F64BDE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1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104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4104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0446"/>
    <w:rPr>
      <w:rFonts w:ascii="Times Armenian" w:eastAsia="Times New Roman" w:hAnsi="Times Armenian" w:cs="Times New Roman"/>
      <w:sz w:val="24"/>
      <w:szCs w:val="20"/>
    </w:rPr>
  </w:style>
  <w:style w:type="character" w:customStyle="1" w:styleId="t101">
    <w:name w:val="t101"/>
    <w:basedOn w:val="DefaultParagraphFont"/>
    <w:rsid w:val="00410446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D2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0505-A731-4E2C-B52B-921F7932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BakurS</cp:lastModifiedBy>
  <cp:revision>23</cp:revision>
  <cp:lastPrinted>2014-11-19T10:15:00Z</cp:lastPrinted>
  <dcterms:created xsi:type="dcterms:W3CDTF">2013-10-09T11:56:00Z</dcterms:created>
  <dcterms:modified xsi:type="dcterms:W3CDTF">2014-11-19T10:16:00Z</dcterms:modified>
</cp:coreProperties>
</file>