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60"/>
        <w:gridCol w:w="4732"/>
        <w:gridCol w:w="3697"/>
        <w:gridCol w:w="3697"/>
      </w:tblGrid>
      <w:tr w:rsidR="00EB1DBE" w:rsidRPr="003778EE" w:rsidTr="003864FD">
        <w:tc>
          <w:tcPr>
            <w:tcW w:w="2660" w:type="dxa"/>
          </w:tcPr>
          <w:p w:rsidR="003778EE" w:rsidRPr="003778EE" w:rsidRDefault="003778EE" w:rsidP="003864FD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3778EE" w:rsidRPr="003778EE" w:rsidRDefault="003778EE" w:rsidP="003778EE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EB1DBE" w:rsidRPr="003778EE" w:rsidRDefault="003778EE" w:rsidP="003778EE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3778EE">
              <w:rPr>
                <w:rFonts w:ascii="Sylfaen" w:hAnsi="Sylfaen"/>
                <w:b/>
                <w:sz w:val="24"/>
                <w:szCs w:val="24"/>
                <w:lang w:val="en-US"/>
              </w:rPr>
              <w:t>ՀՀ Նախագահի աշխատակազմ</w:t>
            </w: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14-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հոդվածի՝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- 3-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«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համարվում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»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բառն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անհրաժեշտ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փոխարինել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«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հանդիսանում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»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բառով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համարվելը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իրավաբանական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ֆիկցիա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է։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նկատառումը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շարք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.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- 3-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կետի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դատավորի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կողմից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վարքագծի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կանոնների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խախտում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դատավորին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ոչ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վայել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վարքագծի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դրսևորումը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որտեղ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«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ոչ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վայել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»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եզրույթը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որոշակիության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պահանջին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բավարարող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ձևակերպում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.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- 4-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պարզ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դատավորի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վարքագծի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կանոնագրքով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ինչպիսի՞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կանոններ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սահմանվելու՝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հաշվի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առնելով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նկատառման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վերոհիշյալ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նկատառումը։</w:t>
            </w:r>
          </w:p>
        </w:tc>
        <w:tc>
          <w:tcPr>
            <w:tcW w:w="3697" w:type="dxa"/>
          </w:tcPr>
          <w:p w:rsidR="00EB1DBE" w:rsidRPr="00474810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697" w:type="dxa"/>
          </w:tcPr>
          <w:p w:rsidR="00EB1DBE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Նախագծի 14-րդ հոդվածը էական փոփոխություններ է կրել:</w:t>
            </w:r>
          </w:p>
          <w:p w:rsidR="00FE59B3" w:rsidRPr="00474810" w:rsidRDefault="00FE59B3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Նախագծից հանվել է վարքագծի կանոնագիր ընդունելու պահանջը: Սահմանադրական դատարանի դատավորի վարքագծի կանոնները սպառիչ սահմանվել են սույն օրենքի նախագծով:</w:t>
            </w:r>
          </w:p>
        </w:tc>
      </w:tr>
      <w:tr w:rsidR="00EB1DBE" w:rsidRPr="00251942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2. Նախագծի 19-րդ հոդվածի 3-րդ մասի համաձայն՝ Սահմանադրական դատարանի դատական ծառայողներին դասային աստիճաններ շնորհվում են օրենքով սահմանված կարգով։ Նախագծի 19-րդ հոդվածին ընդհանրապես, և հիշատակված 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դրույթին մասնավորապես, առաջարկում ենք անդրադառնալ` հաշվի առնելով հանրային ծառայության ոլորտի բարեփոխումների արդյունքները։</w:t>
            </w:r>
          </w:p>
        </w:tc>
        <w:tc>
          <w:tcPr>
            <w:tcW w:w="3697" w:type="dxa"/>
          </w:tcPr>
          <w:p w:rsidR="00EB1DBE" w:rsidRPr="00C80487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C8048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Ընդունվել է ի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գիտություն</w:t>
            </w:r>
          </w:p>
        </w:tc>
        <w:tc>
          <w:tcPr>
            <w:tcW w:w="3697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3. Նախագծի 20-րդ հոդվածն առաջարկում ենք առավել մոտարկել                           ՀՀ վարչական դատավարության օրենսգրքի 5-րդ հոդվածի 2-րդ մասի ձևակերպումներին, քանի որ այն ի պաշտոնե քննության սկզբունքի ավելի հղկված ձևակերպումներ է պարունակում։</w:t>
            </w:r>
          </w:p>
        </w:tc>
        <w:tc>
          <w:tcPr>
            <w:tcW w:w="3697" w:type="dxa"/>
          </w:tcPr>
          <w:p w:rsidR="00EB1DBE" w:rsidRPr="00F47035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697" w:type="dxa"/>
          </w:tcPr>
          <w:p w:rsidR="00EB1DBE" w:rsidRPr="004107F7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Կատարվել է համապատասխան փոփոխություն: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4. Նախագծի 27-րդ հոդվածի 1-ին մասի համաձայն՝ Սահմանադրական դատարանին դիմումը ներկայացվում է թղթային եղանակով, իսկ Սահմանադրական դատարանում համապատասխան տեխնիկական հնարավորությունների դեպքում կարող է ներկայացվել նաև էլեկտրոնային եղանակով: Կարծում ենք, որ սահմանադրական օրենքում ապագայում որոշակի փոփոխությունների ակնկալիքներից (որոնք կարող են նաև չլինել) ելնելով համապատասխան դրույթների սահմանման անհրաժեշտությունը բացակայում է:</w:t>
            </w:r>
          </w:p>
        </w:tc>
        <w:tc>
          <w:tcPr>
            <w:tcW w:w="3697" w:type="dxa"/>
          </w:tcPr>
          <w:p w:rsidR="00EB1DBE" w:rsidRPr="00F47035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697" w:type="dxa"/>
          </w:tcPr>
          <w:p w:rsidR="00EB1DBE" w:rsidRPr="00F47035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Դիմումը ներկայացնելու եղանակի մասին նշումն ավելի հստակ է դարձնում դրույթը: Հաշվի առնելով, որ դիմումին ներկայացվող պահանջները չպահպանելը այն վերադարձնելու հիմք է, առավել նպատակահարմար է պահպանել առկա կարգավորումը` ձերբազատելով դիմող սոււբյեկտներին անհարկի քաշքշուկներից:</w:t>
            </w: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5.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29-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3-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նախատեսվել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դիմումում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բարձրացված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հարցն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ակնհայտորեն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ենթակա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ներկայացրել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դիմելու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իրավունք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չունեցող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մարմինը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անձը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ապա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աշխատակազմը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հնգօրյա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ժամկետում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վերադարձնում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դիմումը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`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բողոքարկելու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կարգի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համապատասխան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նշմամբ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:  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Գտնում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բողոքարկելու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կարգի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համապատասխան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նշմամբ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ձևակերպումը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հաջող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: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խնդիրն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առկա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4-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A74236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Ընդունվել է ի գիտություն</w:t>
            </w:r>
          </w:p>
        </w:tc>
        <w:tc>
          <w:tcPr>
            <w:tcW w:w="3697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6. Նախագծի 34-րդ հոդվածը վերնագրված է` վիճարկվող իրավական ակտի կամ իրավական նորմի գործողության կասեցումը Սահմանադրական դատարանի աշխատակարգային որոշմամբ: Գտնում ենք, որ հոդվածի վերնագրում որոշման տեսակը նշելու անհրաժեշտություն չկա:</w:t>
            </w:r>
          </w:p>
        </w:tc>
        <w:tc>
          <w:tcPr>
            <w:tcW w:w="3697" w:type="dxa"/>
          </w:tcPr>
          <w:p w:rsidR="00EB1DBE" w:rsidRPr="00BC4004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697" w:type="dxa"/>
          </w:tcPr>
          <w:p w:rsidR="00EB1DBE" w:rsidRPr="00384C50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Կատարվել է համապատասխան փոփոխություն: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7. Նախագծի 42-րդ հոդվածը վերնագրված է Սահմանադրական դատարանի դատավորի իրավունքները, իսկ 43-րդ հոդվածը` Սահմանադրական դատարանի դատավորի 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պարտականությունները:  Գտնում ենք, որ նախագծի 42-րդ հոդվածի մասով խոսքը Սահմանադրական դատարանի դատավորի հայեցողական լիազորության մասին է և ոչ թե իրավունքների, իսկ 43-րդ հոդվածի մասի դեպքում` ՍԴ դատավորի պարտադիր լիազորության: Նշվածի հաշվառմամբ առաջարկում ենք նախագծում կատարել համապատասխան փոփոխություն:</w:t>
            </w:r>
          </w:p>
        </w:tc>
        <w:tc>
          <w:tcPr>
            <w:tcW w:w="3697" w:type="dxa"/>
          </w:tcPr>
          <w:p w:rsidR="00EB1DBE" w:rsidRPr="00BC4004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Ընդունվել է ի գիտություն</w:t>
            </w:r>
          </w:p>
        </w:tc>
        <w:tc>
          <w:tcPr>
            <w:tcW w:w="3697" w:type="dxa"/>
          </w:tcPr>
          <w:p w:rsidR="00EB1DBE" w:rsidRPr="00BC4004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Նշված դրույթները հանվել են նախագծից:</w:t>
            </w: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8. Նախագծի 53-րդ հոդվածի 2-րդ մասի համաձայն` եթե փորձագետն անհարգելի պատճառով չի ներկայացել Սահմանադրական դատարանի նիստին, ապա նա Սահմանադրական դատարանի աշխատակարգային որոշմամբ կարող է բերման ենթարկվել Սահմանադրական դատարան` «Ոստիկանության մասին»                   ՀՀ օրենքով սահմանված կարգով: Կարծում ենք, որ սահմանադրական օրենքում չպետք է սովորական օրենքի անվանման համար երաշխիքներ ստեղծել, բավարար է ուղղակի նշել` օրենքով սահմանված կարգով:  Նույն խնդիրն առկա է նաև նախագծի 55-րդ հոդվածի 2-րդ մասում: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Կատարվել են համապատասխան փոփոխություններ:</w:t>
            </w: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9. Նախագծի 61-րդ հոդվածի 1-ին մասով նախատեսված կարգավորման 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(Սահմանադրական դատարանը Սահմանադրության 168-րդ հոդվածում նախատեսված հարցերի վերաբերյալ ընդունում է որոշումներ և եզրակացություններ) ամրագրումն իմաստալից չէ: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Ընդունվել է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Կատարվել է համապատասխան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փոփոխություն: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10. Նախագծի 67-րդ հոդվածի 1-ին մասի վերջին նախադասությունում պարզ չէ, թե ի՞նչ «համապատասխան մարմինների և պաշտոնատար անձանց» մասին է խոսքը, որոնց պետք է ուղարկվի Սահմանադրական դատարանի որոշումների կատարման վիճակի վերաբերյալ հաղորդումը: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Նշված հատվածը հանվել է նախագծից: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11. Օրինագծի՝ «Սահմանադրական դատարանում գործերի քննության և լուծման առանձնահատկությունները» վերտառությամբ 10-րդ գլխի հոդվածների վերնագրերից հանվել են դրանց հակիրճ բնութագրիչները, որոնք առկա են գործող օրենքում: Օրինակ, «իրավանորմերի վերացական վերահսկողություն». պարզ չէ հանելու նպատակը, քանի որ դրանք մեծ դիդակտիկ էֆեկտ ունեին, քանզի խոսքը բարդագույն տարբեր վարույթների միջև հստակ տարանջատում դնելու մասին է, ինչը կարևոր է նման բարդ օրենքի ընկալումը բարձրացնելու համար:</w:t>
            </w:r>
          </w:p>
        </w:tc>
        <w:tc>
          <w:tcPr>
            <w:tcW w:w="3697" w:type="dxa"/>
          </w:tcPr>
          <w:p w:rsidR="00EB1DBE" w:rsidRPr="003C4655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697" w:type="dxa"/>
          </w:tcPr>
          <w:p w:rsidR="00EB1DBE" w:rsidRPr="003C4655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Նման բնութագրիչների կիրառումն ընդունված է տեսության մեջ: Պրակտիկ տեսնակյունից օրենքում դրանց առկայությունը կամ բացակայությունը որևէ նշանակություն չունի: Բացի այդ տարբեր երկրների օրենսդրությունների ուսումնասիրությունը ցույց է տալիս, որ դա ընդունված մոտեցում չէ:</w:t>
            </w: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12. Նախագծի 68-րդ հոդվածի 2-րդ մասում խոսվում է ՀՀ միջազգային պայմանագրերի վավերացման վերաբերյալ օրենքների մասին, մինչդեռ օգտագործվում է «տվյալ որոշման» արտահայտությունը: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697" w:type="dxa"/>
          </w:tcPr>
          <w:p w:rsidR="00EB1DBE" w:rsidRPr="001B58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Կատարվել է համապատասխան փոփոխություն:</w:t>
            </w: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13.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68-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«…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բանավոր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դատաքննությունը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կնպա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հանգամանքների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առավել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արդյունավետ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կերպով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բացահայտմանը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»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ձևակերպումն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հաջողված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ըստ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այդմ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վերանայման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կարիք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ունի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խնդիրն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առկա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օրինագծի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72-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6-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035D2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697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14.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68-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14-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2-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որևէ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ընդունված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որոշումն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o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րենքով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ահմանված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կարգով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ներկայացված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համապատա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դիմումի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հիման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վրա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վերանայել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հայտ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եկել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տվյալ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կիրառված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ահմանադրության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դրույթի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այնպի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ընկալում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առկայությամբ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հարցի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ընդունվել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որոշում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տվյալ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հարցն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ունի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կզբունքային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ահմանադրաիրավական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նշանակություն։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Թեև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որոշումների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վերանայման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օրենքով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նախատեսված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տարվա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ժամկետային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սահմանափակումը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վերանայելու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Վենետիկյան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հանձնաժողվի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դիրքորոշումը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մասնակորեն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ընդունելի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հատկապես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փոփոխման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պարագայում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այդուհանդերձ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ժամկետային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որևէ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սահմանափակման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բացակայությունը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այսինքն՝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լրիվ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ազատականացումը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տեսականորեն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հնարավորություն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կտա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ցանկացած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առիթի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դեպքում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փոփոխելու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պոզիտիվ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ինչն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անպատասխանատվության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իրավունքի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զարգացման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տեսանկյունից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խեղաթյուրման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առիթ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դառնալ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խաթարել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կանխատեսելիությունը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: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Հետևապես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իրավունքի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ընկալման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փոփոխության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որոշակի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սահմանափակումներ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ըստ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ամենայնի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անհրաժեշտ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առնվազն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գոնե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վրա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ծանրակշիռ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հիմնավորման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բեռ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դնելու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տեսքով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քանզի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հնարավոր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մեկ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ամիս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արմատապես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փոփոխել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իրավունքի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ընկալումը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Սահմանադրությանը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համապատասխանող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ճանաչված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իրավադրույթն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անակնկալ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կերպով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հակասահմանադրական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անվավեր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ճանաչել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ինչը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իրականության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մեջ՝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հատկապես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օրենսդրական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խոչընդոտների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բացակայության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պայմաններում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միանգամայն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հնարավոր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273384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Ընդունվել է ի գիտություն</w:t>
            </w:r>
          </w:p>
        </w:tc>
        <w:tc>
          <w:tcPr>
            <w:tcW w:w="3697" w:type="dxa"/>
          </w:tcPr>
          <w:p w:rsidR="00EB1DBE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Հաշվի առնելով Սահմանադրական դատարանի բարձր կարգավիճակը և նրա դերը Սահմանադրության գերակայության ապահովման գործում` նման ենթադրություններ անելը հիմնավոր չէ: </w:t>
            </w:r>
          </w:p>
          <w:p w:rsidR="00EB1DBE" w:rsidRPr="00273384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Նախատեսվել է, որ սույն գործերով դիմումները Սահմանադրական դատարանն ընդունում է պատճառաբանված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աշխատակարգային որոշմամբ: Ուստի Սահմանադրական դատարանը յուրաքանչյուր կոնկրետ դեպքում իր որոշմամբ հիմնավորում է համապատասխան հիմքերի առկայությունը: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15.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72-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5-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6-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մասերով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ամրագրված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կարգավորումների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փոխարեն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հարկ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պարզապես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հղում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քննության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ժամկետներին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ընթացակարգին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առնչվող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ընդհանուր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դրույթներին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(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ինչպես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վերաբերելի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մյուս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հոդվածներում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արված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),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քննարկվող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դրույթներով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որևէ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առանձնահատկություն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նախատեսվում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Բացի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հիշյալ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առկա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վարույթի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շրջանակներում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ընդունվելիք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որոշումների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հետևանքներին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որևէ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կանոն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944EFD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697" w:type="dxa"/>
          </w:tcPr>
          <w:p w:rsidR="00EB1DBE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Հոդվածի 5-րդ մասում նախատեսված ժամկետը փոփոխվել է (նախատեսվել է երեք ամիս):</w:t>
            </w:r>
          </w:p>
          <w:p w:rsidR="00EB1DBE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EB1DBE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Ինչ վերաբերում է որոշումների իրավական հետևանքներին, ապա ավելացվել է 7-րդ մաս հետևյալ բովանդակությամբ`</w:t>
            </w:r>
          </w:p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«</w:t>
            </w:r>
            <w:r w:rsidRPr="00944EFD">
              <w:rPr>
                <w:rFonts w:ascii="Sylfaen" w:hAnsi="Sylfaen"/>
                <w:sz w:val="24"/>
                <w:szCs w:val="24"/>
                <w:lang w:val="hy-AM"/>
              </w:rPr>
              <w:t xml:space="preserve">7. Հայաստանի Հանրապետության Սահմանադրական դատարանի կողմից Հայաստանի Հանրապետության </w:t>
            </w:r>
            <w:r w:rsidRPr="00944EFD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Սահմանադրության փոփոխությունների նախագծի, ինչպես նաև իրավական ակտերի նախագծերի՝  Հայաստանի Հանրապետության Սահմանադրությանը հակասող ճանաչելու մասին որոշում ընդունելու դեպքում նախագիծը հանվում է շրջանառությունից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:»</w:t>
            </w:r>
            <w:r w:rsidRPr="00944EFD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</w:tr>
      <w:tr w:rsidR="00EB1DBE" w:rsidRPr="00D61770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16.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72-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5-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պատճառաբանված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աշխատակարգային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որոշմամբ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քննության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ժամկետը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երկարաձգվել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բայց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ոչ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ավելի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երեք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u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ով։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Հաշվի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առնելով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նշվածը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դրույթը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որևէ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առանձնահատկություն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պարունակում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ապա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անհրաժեշտ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փոխարեն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պարզապես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հղում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կատարել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համապատասխան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դրույթին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: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74-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5-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944EFD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697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1DBE" w:rsidRPr="00C80487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17.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74-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6-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3-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կետի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մեկնաբանելով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համապատասխան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դրույթը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մարմինների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միջև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նրանց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լիազորությունների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վեճերով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մեջ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մարմինը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իրավասու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իրականացնել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վեճի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առարկա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մարմնի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կողմից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վեճի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առարկա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իրականացման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արդյունքում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կատարված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գործողությունը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անգործությունը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ճանաչում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Սահմանադրությանը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հակասող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Գտնում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անհրաժեշտ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հստակեցնել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խոսքը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մեկ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մարմնի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ոչ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մարմնի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իրավասու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իրականացնել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հիշյալ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233BC2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 xml:space="preserve">Ընդունվել է </w:t>
            </w:r>
          </w:p>
        </w:tc>
        <w:tc>
          <w:tcPr>
            <w:tcW w:w="3697" w:type="dxa"/>
          </w:tcPr>
          <w:p w:rsidR="00EB1DBE" w:rsidRPr="00233BC2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Կատարվել է համապատասխան փոփոխություն: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18.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Օրինագծի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78-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11-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2-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կետի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պատգամավորի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լիազորությունները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դադարեցնելու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հարցը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վերաբերյալ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գործերով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ընդունել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պատգամավորի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լիազորությունները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դադարեցնելու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հիմքերի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բացակայության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Գտնում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անհրաժեշտ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սահանել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ինչ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հանգում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դատարանը՝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բավարարում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մերժում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դիմումը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միայն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դրանից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հետո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սահմանել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եզրահանգումը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: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վերաբերում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80-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9-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2-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կետին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, 82-9-2:</w:t>
            </w:r>
          </w:p>
        </w:tc>
        <w:tc>
          <w:tcPr>
            <w:tcW w:w="3697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697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B1DBE" w:rsidRPr="00251942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19.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79-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2-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Ազգային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ժողովը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որոշման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մեջ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պետք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Հանրապետության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նախագահի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իրավական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ակտը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գործողությունը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անգործությունը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ընդունումը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իրականացումն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մեջ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պարունակում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պետական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դավաճանության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Հանրապետության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քրեական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օրենսգրքով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նախատեսված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առանձնապես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ծանր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ծանր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հանցագործության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հատկանիշներ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կոպիտ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խախտման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հատկանիշներ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Հանրապետության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քրեական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օրենսգրքի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խախտումը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հիմք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Հանրապետության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նախագահին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պաշտոնանկ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անելու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Գտնում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քրեական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օրենսգրքի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նշելը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ավելորդ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7B45D0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  <w:p w:rsidR="00EB1DBE" w:rsidRPr="00E44A72" w:rsidRDefault="00EB1DBE" w:rsidP="003864FD">
            <w:pPr>
              <w:ind w:firstLine="708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697" w:type="dxa"/>
          </w:tcPr>
          <w:p w:rsidR="00EB1DBE" w:rsidRPr="00233BC2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76A5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Կատարվել է համապատասխան փոփոխություն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20.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79-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13-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կետի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պետական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ծառայողական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օրենքով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պահպանվող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գաղտնիք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պարունակող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տեղեկություններին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Սահմանադրական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դատարանը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ծանոթանալ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օրենքով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սահմանված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կարգով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Գտնում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ենք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ձևակերպման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տեսանկյունից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իր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տեղում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: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Բացի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ամրագրելն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ավելորդ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թվում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քանի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այլ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օրենքի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կարգավորման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առարկա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206D9F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697" w:type="dxa"/>
          </w:tcPr>
          <w:p w:rsidR="00EB1DBE" w:rsidRPr="00206D9F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Նշված դրույթը նախագծից հանվել է:</w:t>
            </w: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21.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79-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14-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համաձայն՝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դատական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նիստը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բացվելուց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հետո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Ազգային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ժողովի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ներկայացուցիչը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ներկայացնում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դիմող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կողմի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դիրքորոշումը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Պարզ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չէ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թե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արդյո՞ք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քաղաքական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փոքրամասնության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ներկայացուցիչը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նույնպես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դիտվում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որպես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Ազգային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ժողովի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1C1787">
              <w:rPr>
                <w:rFonts w:ascii="Sylfaen" w:hAnsi="Sylfaen" w:cs="Sylfaen"/>
                <w:sz w:val="24"/>
                <w:szCs w:val="24"/>
                <w:lang w:val="hy-AM"/>
              </w:rPr>
              <w:t>ներակայցուցիչ</w:t>
            </w: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251942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697" w:type="dxa"/>
          </w:tcPr>
          <w:p w:rsidR="00EB1DBE" w:rsidRPr="00233BC2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Սահմանադրական դատարանում որպես ԱԺ ներկայացուցիչ հանդես գալու իրավունք ունեցող սուբյեկտների վերաբերյալ կարգավորումները նախատեսված են «Ազգային ժողովի կանոնակարգ» ՀՀ սահմանադրական օրենքով. 5-րդ հոդվածի 2-րդ մասի 19-րդ կետի համաձայն ԱԺ նախագահն է</w:t>
            </w:r>
            <w:r w:rsidRPr="00233BC2">
              <w:rPr>
                <w:rFonts w:ascii="Sylfaen" w:hAnsi="Sylfaen"/>
                <w:sz w:val="24"/>
                <w:szCs w:val="24"/>
                <w:lang w:val="en-US"/>
              </w:rPr>
              <w:t xml:space="preserve"> նշանակում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33BC2">
              <w:rPr>
                <w:rFonts w:ascii="Sylfaen" w:hAnsi="Sylfaen"/>
                <w:sz w:val="24"/>
                <w:szCs w:val="24"/>
                <w:lang w:val="en-US"/>
              </w:rPr>
              <w:t>Սահմանադրական դատարանում Ազգային ժողովի ներկայացուցիչ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 իսկ 156-րդ և 157-րդ հոդվածներով նախատեսված գործերով` ԱԺ խորհորդը:</w:t>
            </w:r>
          </w:p>
          <w:p w:rsidR="00EB1DBE" w:rsidRPr="00251942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B1DBE" w:rsidRPr="003778EE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1C1787">
              <w:rPr>
                <w:rFonts w:ascii="Sylfaen" w:hAnsi="Sylfaen"/>
                <w:sz w:val="24"/>
                <w:szCs w:val="24"/>
                <w:lang w:val="hy-AM"/>
              </w:rPr>
              <w:t>22. Նախագծի 86-րդ հոդվածով նախատեսվում է, որ Սահմանադրական դատարանի աշխատակազմում մասնագիտական գործունեությունը, բացառությամբ տեխնիկական սպասարկման գործառույթների հետ կապված աշխատանքային գործունեության, դատական ծառայություն է, իսկ աշխատակազմում համապատասխան հաստիքներ զբաղեցնող աշխատողները դատական ծառայողներ են: Թեև նշված կարգավորումը առկա է նաև գործող «Սահմանադրական դատարանի» մասին գործող օրենքում, բայց, գտնում ենք այն անհրաժեշտ  չէ, քանի որ տեխնիկական անձնակազմը հանրային ծառայության տեսանկյունից, բոլոր դեպքերում, մասնագիտական գործունեություն չի իրականացնում:</w:t>
            </w:r>
          </w:p>
        </w:tc>
        <w:tc>
          <w:tcPr>
            <w:tcW w:w="3697" w:type="dxa"/>
          </w:tcPr>
          <w:p w:rsidR="00EB1DBE" w:rsidRPr="000F3D6A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697" w:type="dxa"/>
          </w:tcPr>
          <w:p w:rsidR="00EB1DBE" w:rsidRPr="009F20C2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Նման ձևակերպումն ապահովում է առավել հստակություն և բացի այդ կիրառվում է նաև այլ իրավական ակտերում: Ուստի միասնական մոտեցում ու հստակություն ապահովելու նպատակով ավելի ճիշտ է նման կարգավորումը:</w:t>
            </w:r>
          </w:p>
        </w:tc>
      </w:tr>
      <w:tr w:rsidR="00EB1DBE" w:rsidRPr="00251942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575FF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23.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87-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հոդվածի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4-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նախատեսվել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եթե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սույն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պարբերությամբ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սահմանված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կարգով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հաշվարկված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կենսաթոշակի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չափը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ցածր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սույն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առաջին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պարբերությամբ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սահմանված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կարգով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հաշվարկված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կենսաթոշակի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չափից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ապա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կենսաթոշակը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նշանակվում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«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Պետական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պաշտոններ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զբաղեցրած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անձանց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սոցիալական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երաշխիքների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»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Հանրապետության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օրենքով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սահմանված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կարգով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հաշվարկված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չափով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1C178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դրույթը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անհասկանալի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քանի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ընդամենը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մեկ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պարբերություն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մինչդեռ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ամրագրումից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բխում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առկա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են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քանի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պարբերություններ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ինչը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անհարկի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շփոթ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առաջացնում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արդյունքում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նախատեսված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կարգավորումը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բովանդակային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առումով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դառնում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անհասկանալի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0F3D6A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Ընդունվել է</w:t>
            </w:r>
          </w:p>
        </w:tc>
        <w:tc>
          <w:tcPr>
            <w:tcW w:w="3697" w:type="dxa"/>
          </w:tcPr>
          <w:p w:rsidR="00EB1DBE" w:rsidRPr="008632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Կատարվել է համապատասխան փոփոխություն:</w:t>
            </w:r>
          </w:p>
        </w:tc>
      </w:tr>
      <w:tr w:rsidR="00EB1DBE" w:rsidRPr="00251942" w:rsidTr="003864FD">
        <w:tc>
          <w:tcPr>
            <w:tcW w:w="2660" w:type="dxa"/>
          </w:tcPr>
          <w:p w:rsidR="00EB1DBE" w:rsidRPr="00381668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732" w:type="dxa"/>
          </w:tcPr>
          <w:p w:rsidR="00EB1DBE" w:rsidRPr="00575FF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24.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87-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րդ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հոդվածով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նշվում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«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Պետական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պաշտոններ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զբաղեցրած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անձանց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սոցիալական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երաշխիքների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»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Հանրապետության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օրենքով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սահմանված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կարգով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չափով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նշանակվել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կենսաթոշակ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անկախ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տարիքից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եթե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Ազգային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ժողովին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կենսաթոշակի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անցնելու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նպատակով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լիազորությունների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դադարման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վերաբերյալ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հրաժարականի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մասին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դիմում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ներկայացրել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ներկայացնելուց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հետո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ոչ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ուշ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քան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մեկ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շաբաթյա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ժամկետում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այն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հետ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չի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վերցրել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EB1DBE" w:rsidRPr="00575FF7" w:rsidRDefault="00EB1DBE" w:rsidP="003864F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Նշվածից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անհասկանալի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կարող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նշանակվել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դրույթը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պետք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որոշակիացվի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կենսաթոշակը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կարո՞ղ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նշանակվել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թ՞ե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պետք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նշանակվի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: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Իսկ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հրաժարականի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նախատեսված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դրույթը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անհարկի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բարդացված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այդ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մասով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գտնում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ենք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պարզապես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պետք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նշել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որ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հրաժարական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տալու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միջոցով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լիազորություններ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դադարեցվել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75FF7">
              <w:rPr>
                <w:rFonts w:ascii="Sylfaen" w:hAnsi="Sylfaen" w:cs="Sylfaen"/>
                <w:sz w:val="24"/>
                <w:szCs w:val="24"/>
                <w:lang w:val="hy-AM"/>
              </w:rPr>
              <w:t>են</w:t>
            </w:r>
            <w:r w:rsidRPr="00575FF7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697" w:type="dxa"/>
          </w:tcPr>
          <w:p w:rsidR="00EB1DBE" w:rsidRPr="009A2631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Ընդունվել է</w:t>
            </w:r>
          </w:p>
        </w:tc>
        <w:tc>
          <w:tcPr>
            <w:tcW w:w="3697" w:type="dxa"/>
          </w:tcPr>
          <w:p w:rsidR="00EB1DBE" w:rsidRPr="00863299" w:rsidRDefault="00EB1DBE" w:rsidP="003864F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Կատարվել են համապատասխան փոփոխություններ:</w:t>
            </w:r>
          </w:p>
        </w:tc>
      </w:tr>
    </w:tbl>
    <w:p w:rsidR="00EB1DBE" w:rsidRPr="00381668" w:rsidRDefault="00EB1DBE" w:rsidP="00EB1DBE">
      <w:pPr>
        <w:rPr>
          <w:rFonts w:ascii="Sylfaen" w:hAnsi="Sylfaen"/>
          <w:sz w:val="24"/>
          <w:szCs w:val="24"/>
          <w:lang w:val="hy-AM"/>
        </w:rPr>
      </w:pPr>
    </w:p>
    <w:p w:rsidR="004B67FA" w:rsidRDefault="004B67FA"/>
    <w:sectPr w:rsidR="004B67FA" w:rsidSect="003816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EB1DBE"/>
    <w:rsid w:val="001D7A53"/>
    <w:rsid w:val="003778EE"/>
    <w:rsid w:val="004B67FA"/>
    <w:rsid w:val="00702852"/>
    <w:rsid w:val="00EB1DBE"/>
    <w:rsid w:val="00F14A9D"/>
    <w:rsid w:val="00FE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1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2153</Words>
  <Characters>12278</Characters>
  <Application>Microsoft Office Word</Application>
  <DocSecurity>0</DocSecurity>
  <Lines>102</Lines>
  <Paragraphs>28</Paragraphs>
  <ScaleCrop>false</ScaleCrop>
  <Company>Ministry of Justice of the Republic of Armenia</Company>
  <LinksUpToDate>false</LinksUpToDate>
  <CharactersWithSpaces>14403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Ch-Gabuzyan</dc:creator>
  <cp:keywords/>
  <dc:description/>
  <cp:lastModifiedBy>Ch-Gabuzyan</cp:lastModifiedBy>
  <cp:revision>4</cp:revision>
  <dcterms:created xsi:type="dcterms:W3CDTF">2017-09-12T07:43:00Z</dcterms:created>
  <dcterms:modified xsi:type="dcterms:W3CDTF">2017-11-09T08:47:00Z</dcterms:modified>
</cp:coreProperties>
</file>