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FB" w:rsidRPr="00AF41A2" w:rsidRDefault="00AE37FB" w:rsidP="00E00CC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ՆԱԽԱԳԻԾ</w:t>
      </w:r>
    </w:p>
    <w:p w:rsidR="00AE37FB" w:rsidRPr="00AF41A2" w:rsidRDefault="00AE37FB" w:rsidP="00E00C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E37FB" w:rsidRPr="00AF41A2" w:rsidRDefault="00AE37FB" w:rsidP="00E00C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41A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AE37FB" w:rsidRPr="00AF41A2" w:rsidRDefault="00AE37FB" w:rsidP="00E00C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41A2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AE37FB" w:rsidRPr="00AF41A2" w:rsidRDefault="00AE37FB" w:rsidP="00DB4D48">
      <w:pPr>
        <w:autoSpaceDE w:val="0"/>
        <w:autoSpaceDN w:val="0"/>
        <w:adjustRightInd w:val="0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«</w:t>
      </w:r>
      <w:r w:rsidRPr="00AF41A2">
        <w:rPr>
          <w:rFonts w:ascii="GHEA Grapalat" w:hAnsi="GHEA Grapalat" w:cs="Times Armenian"/>
          <w:sz w:val="24"/>
          <w:szCs w:val="24"/>
          <w:lang w:val="hy-AM"/>
        </w:rPr>
        <w:t xml:space="preserve">    </w:t>
      </w:r>
      <w:r w:rsidRPr="00AF41A2">
        <w:rPr>
          <w:rFonts w:ascii="GHEA Grapalat" w:hAnsi="GHEA Grapalat"/>
          <w:sz w:val="24"/>
          <w:szCs w:val="24"/>
          <w:lang w:val="hy-AM"/>
        </w:rPr>
        <w:t>»</w:t>
      </w:r>
      <w:r w:rsidRPr="00AF41A2">
        <w:rPr>
          <w:rFonts w:ascii="GHEA Grapalat" w:hAnsi="GHEA Grapalat" w:cs="Times Armenian"/>
          <w:sz w:val="24"/>
          <w:szCs w:val="24"/>
          <w:lang w:val="hy-AM"/>
        </w:rPr>
        <w:t xml:space="preserve"> ----------------- 20  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F41A2">
        <w:rPr>
          <w:rFonts w:ascii="GHEA Grapalat" w:hAnsi="GHEA Grapalat" w:cs="Times Armenian"/>
          <w:sz w:val="24"/>
          <w:szCs w:val="24"/>
          <w:lang w:val="hy-AM"/>
        </w:rPr>
        <w:t xml:space="preserve">          N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      -Ն</w:t>
      </w:r>
    </w:p>
    <w:p w:rsidR="00AE37FB" w:rsidRPr="00AF41A2" w:rsidRDefault="00AE37FB" w:rsidP="00E00C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E37FB" w:rsidRPr="00AF41A2" w:rsidRDefault="00AE37FB" w:rsidP="00E00CC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41A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2011 ԹՎԱԿԱՆԻ ՕԳՈՍՏՈՍԻ 18-Ի N 1179-Ն ՈՐՈՇՄԱՆ ՄԵՋ ՓՈՓՈԽՈՒԹՅՈՒՆ</w:t>
      </w:r>
      <w:r w:rsidR="006C1682" w:rsidRPr="00AF41A2">
        <w:rPr>
          <w:rFonts w:ascii="GHEA Grapalat" w:hAnsi="GHEA Grapalat"/>
          <w:b/>
          <w:sz w:val="24"/>
          <w:szCs w:val="24"/>
          <w:lang w:val="hy-AM"/>
        </w:rPr>
        <w:t>ՆԵՐ ԵՎ ԼՐԱՑՈՒՄ</w:t>
      </w:r>
      <w:r w:rsidRPr="00AF41A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FA1B7D" w:rsidRPr="00AF41A2" w:rsidRDefault="00FA1B7D" w:rsidP="004E626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AE37FB" w:rsidRPr="00AF41A2" w:rsidRDefault="00AE37FB" w:rsidP="004E626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Ղեկավարվելով «Իրավական ակտերի մասին» Հայաստանի Հանրապետության օրենքի 70-րդ հոդվածի 1-ին մասով և հիմք ընդունելով «Սնանկության մասին» Հայաստանի Հանրապետության oրենքի 22-րդ հոդվածի 1-ին մասը` Հայաստանի Հանրապետության կառավարությունը որոշում է.</w:t>
      </w:r>
    </w:p>
    <w:p w:rsidR="006C1682" w:rsidRPr="00AF41A2" w:rsidRDefault="00AE37FB" w:rsidP="004E626A">
      <w:pPr>
        <w:pStyle w:val="ListParagraph"/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2011 թվականի օգոստոսի 18-ի Սնանկության գործով կառավարչի որակավորման կարգը հաստատելու մասին N 1179-Ն որոշմա</w:t>
      </w:r>
      <w:r w:rsidR="006C1682" w:rsidRPr="00AF41A2">
        <w:rPr>
          <w:rFonts w:ascii="GHEA Grapalat" w:hAnsi="GHEA Grapalat"/>
          <w:sz w:val="24"/>
          <w:szCs w:val="24"/>
          <w:lang w:val="hy-AM"/>
        </w:rPr>
        <w:t>մբ հաստատված կարգում (այսուհետ՝ կարգ) կատարել հետևյալ փոփոխություններն ու լրացումը.</w:t>
      </w:r>
    </w:p>
    <w:p w:rsidR="003373F1" w:rsidRPr="00AF41A2" w:rsidRDefault="006C1682" w:rsidP="006C168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3373F1" w:rsidRPr="00AF41A2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8112E6" w:rsidRPr="00AF41A2">
        <w:rPr>
          <w:rFonts w:ascii="GHEA Grapalat" w:hAnsi="GHEA Grapalat"/>
          <w:sz w:val="24"/>
          <w:szCs w:val="24"/>
          <w:lang w:val="hy-AM"/>
        </w:rPr>
        <w:t>կետը շարադրել հետևյալ խմբագրությամբ.</w:t>
      </w:r>
    </w:p>
    <w:p w:rsidR="008112E6" w:rsidRPr="00AF41A2" w:rsidRDefault="008112E6" w:rsidP="008112E6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«3.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Կառավարչի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ստուգումն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է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մեկ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անգամ։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Լիազոր մարմինը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ստուգումն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անցկացնելուց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ոչ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ուշ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քան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մեկ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ամիս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 w:cs="Sylfaen"/>
          <w:sz w:val="24"/>
          <w:szCs w:val="24"/>
          <w:lang w:val="hy-AM"/>
        </w:rPr>
        <w:t>առաջ</w:t>
      </w:r>
      <w:r w:rsidR="004824A9" w:rsidRPr="00AF41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hyperlink r:id="rId5" w:history="1">
        <w:r w:rsidR="00CE6BBB" w:rsidRPr="00924AD7">
          <w:rPr>
            <w:rStyle w:val="Hyperlink"/>
            <w:rFonts w:ascii="GHEA Grapalat" w:hAnsi="GHEA Grapalat" w:cs="GHEA Grapalat"/>
            <w:sz w:val="24"/>
            <w:szCs w:val="24"/>
            <w:lang w:val="hy-AM"/>
          </w:rPr>
          <w:t>http://www.azdarar.am</w:t>
        </w:r>
      </w:hyperlink>
      <w:r w:rsidRPr="00AF41A2">
        <w:rPr>
          <w:rFonts w:ascii="GHEA Grapalat" w:hAnsi="GHEA Grapalat" w:cs="GHEA Grapalat"/>
          <w:sz w:val="24"/>
          <w:szCs w:val="24"/>
          <w:lang w:val="hy-AM"/>
        </w:rPr>
        <w:t xml:space="preserve"> հասցեով գտնվող Հայաստանի Հանրապետության հրապարակային ծանուցումների պաշտոնական ինտերնետային կայքում և իր</w:t>
      </w:r>
      <w:r w:rsidR="004824A9" w:rsidRPr="00AF41A2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AF41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hyperlink r:id="rId6" w:history="1">
        <w:r w:rsidR="004824A9" w:rsidRPr="00AF41A2">
          <w:rPr>
            <w:rStyle w:val="Hyperlink"/>
            <w:rFonts w:ascii="GHEA Grapalat" w:hAnsi="GHEA Grapalat"/>
            <w:sz w:val="24"/>
            <w:szCs w:val="24"/>
            <w:lang w:val="hy-AM"/>
          </w:rPr>
          <w:t>www.j</w:t>
        </w:r>
        <w:r w:rsidR="004824A9" w:rsidRPr="00AF41A2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ս</w:t>
        </w:r>
        <w:r w:rsidR="004824A9" w:rsidRPr="00AF41A2">
          <w:rPr>
            <w:rStyle w:val="Hyperlink"/>
            <w:rFonts w:ascii="GHEA Grapalat" w:hAnsi="GHEA Grapalat"/>
            <w:sz w:val="24"/>
            <w:szCs w:val="24"/>
            <w:lang w:val="hy-AM"/>
          </w:rPr>
          <w:t>stice.am</w:t>
        </w:r>
      </w:hyperlink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(</w:t>
      </w:r>
      <w:hyperlink r:id="rId7" w:history="1">
        <w:r w:rsidR="00CE6BBB" w:rsidRPr="00924AD7">
          <w:rPr>
            <w:rStyle w:val="Hyperlink"/>
            <w:rFonts w:ascii="GHEA Grapalat" w:hAnsi="GHEA Grapalat"/>
            <w:sz w:val="24"/>
            <w:szCs w:val="24"/>
            <w:lang w:val="hy-AM"/>
          </w:rPr>
          <w:t>www.moj.am</w:t>
        </w:r>
      </w:hyperlink>
      <w:r w:rsidR="004824A9" w:rsidRPr="00AF41A2">
        <w:rPr>
          <w:rFonts w:ascii="GHEA Grapalat" w:hAnsi="GHEA Grapalat"/>
          <w:sz w:val="24"/>
          <w:szCs w:val="24"/>
          <w:lang w:val="hy-AM"/>
        </w:rPr>
        <w:t>)</w:t>
      </w:r>
      <w:r w:rsidR="004824A9" w:rsidRPr="00AF41A2">
        <w:rPr>
          <w:rFonts w:ascii="GHEA Grapalat" w:hAnsi="GHEA Grapalat" w:cs="GHEA Grapalat"/>
          <w:sz w:val="24"/>
          <w:szCs w:val="24"/>
          <w:lang w:val="hy-AM"/>
        </w:rPr>
        <w:t xml:space="preserve"> պաշտոնական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>ինտերնետային կայքում հրապարակում է որակավորումն անցկացնելու մասին հայտարարություն</w:t>
      </w:r>
      <w:r w:rsidRPr="00AF41A2">
        <w:rPr>
          <w:rFonts w:ascii="GHEA Grapalat" w:hAnsi="GHEA Grapalat"/>
          <w:sz w:val="24"/>
          <w:szCs w:val="24"/>
          <w:lang w:val="hy-AM"/>
        </w:rPr>
        <w:t>։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մեջ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են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AF41A2">
        <w:rPr>
          <w:rFonts w:ascii="GHEA Grapalat" w:hAnsi="GHEA Grapalat" w:cs="Sylfaen"/>
          <w:sz w:val="24"/>
          <w:szCs w:val="24"/>
          <w:lang w:val="hy-AM"/>
        </w:rPr>
        <w:t>րդ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ամիսը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="00102310">
        <w:rPr>
          <w:rFonts w:ascii="GHEA Grapalat" w:hAnsi="GHEA Grapalat" w:cs="Sylfaen"/>
          <w:sz w:val="24"/>
          <w:szCs w:val="24"/>
          <w:lang w:val="hy-AM"/>
        </w:rPr>
        <w:t>, ժամը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և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նաև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6054D">
        <w:rPr>
          <w:rFonts w:ascii="GHEA Grapalat" w:hAnsi="GHEA Grapalat"/>
          <w:sz w:val="24"/>
          <w:szCs w:val="24"/>
          <w:lang w:val="hy-AM"/>
        </w:rPr>
        <w:t xml:space="preserve">եղանակը,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վերջնաժամկետը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և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վայրը։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ստուգմանը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և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lastRenderedPageBreak/>
        <w:t>պետք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է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ներկայացվեն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ստուգումն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անցկացնելուց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տասն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օր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AF41A2">
        <w:rPr>
          <w:rFonts w:ascii="GHEA Grapalat" w:hAnsi="GHEA Grapalat" w:cs="Tahoma"/>
          <w:sz w:val="24"/>
          <w:szCs w:val="24"/>
          <w:lang w:val="hy-AM"/>
        </w:rPr>
        <w:t>։</w:t>
      </w:r>
      <w:r w:rsidRPr="00AF41A2">
        <w:rPr>
          <w:rFonts w:ascii="GHEA Grapalat" w:hAnsi="GHEA Grapalat"/>
          <w:sz w:val="24"/>
          <w:szCs w:val="24"/>
          <w:lang w:val="hy-AM"/>
        </w:rPr>
        <w:t>»</w:t>
      </w:r>
      <w:r w:rsidR="004824A9" w:rsidRPr="00AF41A2">
        <w:rPr>
          <w:rFonts w:ascii="GHEA Grapalat" w:hAnsi="GHEA Grapalat"/>
          <w:sz w:val="24"/>
          <w:szCs w:val="24"/>
          <w:lang w:val="hy-AM"/>
        </w:rPr>
        <w:t>.</w:t>
      </w:r>
    </w:p>
    <w:p w:rsidR="00A00102" w:rsidRPr="00AF41A2" w:rsidRDefault="006C1682" w:rsidP="00A00102">
      <w:pPr>
        <w:pStyle w:val="ListParagraph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934D30" w:rsidRPr="00AF41A2">
        <w:rPr>
          <w:rFonts w:ascii="GHEA Grapalat" w:hAnsi="GHEA Grapalat"/>
          <w:sz w:val="24"/>
          <w:szCs w:val="24"/>
          <w:lang w:val="hy-AM"/>
        </w:rPr>
        <w:t>11-րդ կետը շարադրել նոր խմբագրությամբ</w:t>
      </w:r>
      <w:r w:rsidR="00A00102" w:rsidRPr="00AF41A2">
        <w:rPr>
          <w:rFonts w:ascii="GHEA Grapalat" w:hAnsi="GHEA Grapalat"/>
          <w:sz w:val="24"/>
          <w:szCs w:val="24"/>
          <w:lang w:val="hy-AM"/>
        </w:rPr>
        <w:t>.</w:t>
      </w:r>
    </w:p>
    <w:p w:rsidR="00AF41A2" w:rsidRPr="00AF41A2" w:rsidRDefault="00A00102" w:rsidP="00AF41A2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«</w:t>
      </w:r>
      <w:r w:rsidR="00C12510" w:rsidRPr="00AF41A2">
        <w:rPr>
          <w:rFonts w:ascii="GHEA Grapalat" w:hAnsi="GHEA Grapalat"/>
          <w:sz w:val="24"/>
          <w:szCs w:val="24"/>
          <w:lang w:val="hy-AM"/>
        </w:rPr>
        <w:t xml:space="preserve">11. </w:t>
      </w:r>
      <w:r w:rsidR="00C12510" w:rsidRPr="00AF41A2">
        <w:rPr>
          <w:rFonts w:ascii="GHEA Grapalat" w:hAnsi="GHEA Grapalat" w:cs="Sylfaen"/>
          <w:sz w:val="24"/>
          <w:szCs w:val="24"/>
          <w:lang w:val="hy-AM"/>
        </w:rPr>
        <w:t>Որակավորման</w:t>
      </w:r>
      <w:r w:rsidR="00C12510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510" w:rsidRPr="00AF41A2">
        <w:rPr>
          <w:rFonts w:ascii="GHEA Grapalat" w:hAnsi="GHEA Grapalat" w:cs="Sylfaen"/>
          <w:sz w:val="24"/>
          <w:szCs w:val="24"/>
          <w:lang w:val="hy-AM"/>
        </w:rPr>
        <w:t>ստուգումն անցկացնում է լիազոր մարմնի ղեկավարի կողմից ստեղծված հանձնաժողովը (այսուհետ` հանձնաժողով)։ Հանձնաժողովը բաղկացած է վեց անդամից, որի կազմը հաստատում է լիազոր մարմնի ղեկավարը։</w:t>
      </w:r>
      <w:r w:rsidR="00D1645F" w:rsidRPr="00AF41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Հանձնաժողովի կազմում ընդգրկվում են երկու ներկայացուցիչ Հայաստանի Հանրապետության արդարադատության նախարարությունից, մեկ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ական ներկայացուցիչ</w:t>
      </w:r>
      <w:r w:rsidRPr="00AF41A2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</w:t>
      </w:r>
      <w:r w:rsidR="00D1645F" w:rsidRPr="00AF41A2">
        <w:rPr>
          <w:rFonts w:ascii="GHEA Grapalat" w:hAnsi="GHEA Grapalat" w:cs="Sylfaen"/>
          <w:sz w:val="24"/>
          <w:szCs w:val="24"/>
          <w:lang w:val="hy-AM"/>
        </w:rPr>
        <w:t xml:space="preserve"> ֆինանսների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F2F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="00D1645F" w:rsidRPr="00AF41A2">
        <w:rPr>
          <w:rFonts w:ascii="GHEA Grapalat" w:hAnsi="GHEA Grapalat" w:cs="Sylfaen"/>
          <w:sz w:val="24"/>
          <w:szCs w:val="24"/>
          <w:lang w:val="hy-AM"/>
        </w:rPr>
        <w:t xml:space="preserve"> նախարար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 xml:space="preserve">ներից, Հայաստանի Հանրապետության կառավարությանն առընթեր պետական գույքի կառավարման վարչությունից և 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>Սնանկության գործերով կառավարիչների կոլեգիա ինքնակարգավորվող կազմակերպությունից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 xml:space="preserve">՝ համապատասխանաբար Հայաստանի Հանրապետության արդարադատության, </w:t>
      </w:r>
      <w:r w:rsidR="00EF2F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 xml:space="preserve">ֆինանսների և </w:t>
      </w:r>
      <w:r w:rsidR="00EF2F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էկոնոմիկայի նախարարների, Հայաստանի Հանրապետության կառավարությանն առընթեր պետական գույքի կառավարման վարչության պետի և</w:t>
      </w:r>
      <w:r w:rsidR="00AF41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>Սնանկության գործերով կառավարիչների կոլեգիա ինքնակարգավորվող կազմակերպության նախագահի ներկայացմամբ:».</w:t>
      </w:r>
    </w:p>
    <w:p w:rsidR="00FA1B7D" w:rsidRPr="00AF41A2" w:rsidRDefault="00CE6BBB" w:rsidP="00AF41A2">
      <w:pPr>
        <w:pStyle w:val="ListParagraph"/>
        <w:numPr>
          <w:ilvl w:val="0"/>
          <w:numId w:val="7"/>
        </w:numPr>
        <w:spacing w:after="0" w:line="360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934D30" w:rsidRPr="00AF41A2">
        <w:rPr>
          <w:rFonts w:ascii="GHEA Grapalat" w:hAnsi="GHEA Grapalat"/>
          <w:sz w:val="24"/>
          <w:szCs w:val="24"/>
          <w:lang w:val="hy-AM"/>
        </w:rPr>
        <w:t>16-</w:t>
      </w:r>
      <w:r w:rsidR="00FA1B7D" w:rsidRPr="00AF41A2">
        <w:rPr>
          <w:rFonts w:ascii="GHEA Grapalat" w:hAnsi="GHEA Grapalat"/>
          <w:sz w:val="24"/>
          <w:szCs w:val="24"/>
          <w:lang w:val="hy-AM"/>
        </w:rPr>
        <w:t>րդ կետը շարադրել հետևյալ խմբագրությամբ.</w:t>
      </w:r>
    </w:p>
    <w:p w:rsidR="00FA1B7D" w:rsidRPr="00AF41A2" w:rsidRDefault="00FA1B7D" w:rsidP="00FA1B7D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«16.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Թեստերը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կազմ</w:t>
      </w:r>
      <w:r w:rsidR="00AF41A2">
        <w:rPr>
          <w:rFonts w:ascii="GHEA Grapalat" w:hAnsi="GHEA Grapalat" w:cs="Sylfaen"/>
          <w:sz w:val="24"/>
          <w:szCs w:val="24"/>
          <w:lang w:val="hy-AM"/>
        </w:rPr>
        <w:t>ում է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՝ սույն կարգի 11-րդ կետով նախատեսված պետական կառավարման մարմինների հետ համատեղ: Թեստերը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են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 xml:space="preserve"> լիազոր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AF41A2"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1A2" w:rsidRPr="00AF41A2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ստուգման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ոչ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ուշ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F41A2">
        <w:rPr>
          <w:rFonts w:ascii="GHEA Grapalat" w:hAnsi="GHEA Grapalat" w:cs="Sylfaen"/>
          <w:sz w:val="24"/>
          <w:szCs w:val="24"/>
          <w:lang w:val="hy-AM"/>
        </w:rPr>
        <w:t>քան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մեկ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AF41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A2">
        <w:rPr>
          <w:rFonts w:ascii="GHEA Grapalat" w:hAnsi="GHEA Grapalat" w:cs="Sylfaen"/>
          <w:sz w:val="24"/>
          <w:szCs w:val="24"/>
          <w:lang w:val="hy-AM"/>
        </w:rPr>
        <w:t>առաջ</w:t>
      </w:r>
      <w:r w:rsidR="00AF41A2">
        <w:rPr>
          <w:rFonts w:ascii="GHEA Grapalat" w:hAnsi="GHEA Grapalat" w:cs="Sylfaen"/>
          <w:sz w:val="24"/>
          <w:szCs w:val="24"/>
          <w:lang w:val="hy-AM"/>
        </w:rPr>
        <w:t>:»</w:t>
      </w:r>
      <w:r w:rsidRPr="00AF41A2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C1682" w:rsidRPr="00AF41A2" w:rsidRDefault="006C1682" w:rsidP="006C1682">
      <w:pPr>
        <w:pStyle w:val="ListParagraph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>կարգի 32-րդ կետը շարադրել հետևյալ խմբագրությամբ.</w:t>
      </w:r>
    </w:p>
    <w:p w:rsidR="00AE37FB" w:rsidRPr="00AF41A2" w:rsidRDefault="006C1682" w:rsidP="006C1682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«32. </w:t>
      </w:r>
      <w:r w:rsidR="00AE37FB" w:rsidRPr="00AF41A2">
        <w:rPr>
          <w:rFonts w:ascii="GHEA Grapalat" w:hAnsi="GHEA Grapalat"/>
          <w:sz w:val="24"/>
          <w:szCs w:val="24"/>
          <w:lang w:val="hy-AM"/>
        </w:rPr>
        <w:t xml:space="preserve">Որակավորման վկայականի կորստի դեպքում անձը դրա մասին դիմում է ներկայացնում լիազոր մարմին: Լիազոր մարմինը այդ մասին </w:t>
      </w:r>
      <w:r w:rsidR="00DC75D9" w:rsidRPr="00AF41A2">
        <w:rPr>
          <w:rFonts w:ascii="GHEA Grapalat" w:hAnsi="GHEA Grapalat"/>
          <w:sz w:val="24"/>
          <w:szCs w:val="24"/>
          <w:lang w:val="hy-AM"/>
        </w:rPr>
        <w:t xml:space="preserve">1 աշխատանքային օրվա ընթացքում </w:t>
      </w:r>
      <w:r w:rsidR="00AE37FB" w:rsidRPr="00AF41A2">
        <w:rPr>
          <w:rFonts w:ascii="GHEA Grapalat" w:hAnsi="GHEA Grapalat"/>
          <w:sz w:val="24"/>
          <w:szCs w:val="24"/>
          <w:lang w:val="hy-AM"/>
        </w:rPr>
        <w:t xml:space="preserve">հայտարարություն է հրապարակում </w:t>
      </w:r>
      <w:hyperlink r:id="rId8" w:history="1">
        <w:r w:rsidR="00CE6BBB" w:rsidRPr="00924AD7">
          <w:rPr>
            <w:rStyle w:val="Hyperlink"/>
            <w:rFonts w:ascii="GHEA Grapalat" w:hAnsi="GHEA Grapalat" w:cs="GHEA Grapalat"/>
            <w:sz w:val="24"/>
            <w:szCs w:val="24"/>
            <w:lang w:val="hy-AM"/>
          </w:rPr>
          <w:t>http://www.azdarar.am</w:t>
        </w:r>
      </w:hyperlink>
      <w:r w:rsidR="00AE37FB" w:rsidRPr="00AF41A2">
        <w:rPr>
          <w:rFonts w:ascii="GHEA Grapalat" w:hAnsi="GHEA Grapalat" w:cs="GHEA Grapalat"/>
          <w:sz w:val="24"/>
          <w:szCs w:val="24"/>
          <w:lang w:val="hy-AM"/>
        </w:rPr>
        <w:t xml:space="preserve"> հասցեով գտնվող Հայաստանի Հանրապետության հրապարակային ծանուցումների պաշտոնական ինտերնետային կայքում</w:t>
      </w:r>
      <w:r w:rsidR="00AE37FB" w:rsidRPr="00AF41A2">
        <w:rPr>
          <w:rFonts w:ascii="GHEA Grapalat" w:hAnsi="GHEA Grapalat"/>
          <w:sz w:val="24"/>
          <w:szCs w:val="24"/>
          <w:lang w:val="hy-AM"/>
        </w:rPr>
        <w:t>։ Լիազոր մարմինը կորած վկայականի կրկնօրինակը դիմողին տալիս է հայտարարության հրապարակման օրվանից 10 օր հետո` 1 աշխատանքային օրվա ընթացքում</w:t>
      </w:r>
      <w:r w:rsidRPr="00AF41A2">
        <w:rPr>
          <w:rFonts w:ascii="GHEA Grapalat" w:hAnsi="GHEA Grapalat"/>
          <w:sz w:val="24"/>
          <w:szCs w:val="24"/>
          <w:lang w:val="hy-AM"/>
        </w:rPr>
        <w:t>»</w:t>
      </w:r>
      <w:r w:rsidR="00CE6BBB">
        <w:rPr>
          <w:rFonts w:ascii="GHEA Grapalat" w:hAnsi="GHEA Grapalat"/>
          <w:sz w:val="24"/>
          <w:szCs w:val="24"/>
          <w:lang w:val="hy-AM"/>
        </w:rPr>
        <w:t>.</w:t>
      </w:r>
    </w:p>
    <w:p w:rsidR="006C1682" w:rsidRPr="00AF41A2" w:rsidRDefault="00CE6BBB" w:rsidP="006C1682">
      <w:pPr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կ</w:t>
      </w:r>
      <w:r w:rsidR="006C1682" w:rsidRPr="00AF41A2">
        <w:rPr>
          <w:rFonts w:ascii="GHEA Grapalat" w:hAnsi="GHEA Grapalat"/>
          <w:sz w:val="24"/>
          <w:szCs w:val="24"/>
          <w:lang w:val="hy-AM"/>
        </w:rPr>
        <w:t>արգը լրացնել հետևյալ բովանդակությամբ նոր՝ 36-րդ կետով.</w:t>
      </w:r>
    </w:p>
    <w:p w:rsidR="00AE37FB" w:rsidRPr="00AF41A2" w:rsidRDefault="006C1682" w:rsidP="006C1682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sz w:val="24"/>
          <w:szCs w:val="24"/>
          <w:lang w:val="hy-AM"/>
        </w:rPr>
        <w:t xml:space="preserve">«36. </w:t>
      </w:r>
      <w:r w:rsidR="00AE37FB" w:rsidRPr="00AF41A2">
        <w:rPr>
          <w:rFonts w:ascii="GHEA Grapalat" w:hAnsi="GHEA Grapalat"/>
          <w:sz w:val="24"/>
          <w:szCs w:val="24"/>
          <w:lang w:val="hy-AM"/>
        </w:rPr>
        <w:t>Լիազոր մարմինը վարում է կառավարչի որակավորում ստացած անձանց ցուցակ, որում նշվում է կառավարչի որակավորում ստացած անձի անունը, ազգանունը և վերջինիս հետ կապ հաստատելու հնարավոր միջոցները: Ցուցակը հրապարակվում է լիազոր մարմնի ինտերնետային կայքում</w:t>
      </w:r>
      <w:r w:rsidR="00F2390C">
        <w:rPr>
          <w:rFonts w:ascii="GHEA Grapalat" w:hAnsi="GHEA Grapalat"/>
          <w:sz w:val="24"/>
          <w:szCs w:val="24"/>
          <w:lang w:val="hy-AM"/>
        </w:rPr>
        <w:t xml:space="preserve"> և թարմացվում ըստ անհրաժեշտության</w:t>
      </w:r>
      <w:r w:rsidR="00AE37FB" w:rsidRPr="00AF41A2">
        <w:rPr>
          <w:rFonts w:ascii="GHEA Grapalat" w:hAnsi="GHEA Grapalat"/>
          <w:sz w:val="24"/>
          <w:szCs w:val="24"/>
          <w:lang w:val="hy-AM"/>
        </w:rPr>
        <w:t>::</w:t>
      </w:r>
    </w:p>
    <w:p w:rsidR="006C1682" w:rsidRPr="00AF41A2" w:rsidRDefault="006C1682" w:rsidP="006C1682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F41A2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AF41A2">
        <w:rPr>
          <w:rFonts w:ascii="GHEA Grapalat" w:hAnsi="GHEA Grapalat" w:cs="Courier New"/>
          <w:sz w:val="24"/>
          <w:szCs w:val="24"/>
          <w:lang w:val="hy-AM"/>
        </w:rPr>
        <w:t>Սույն որոշումն ուժի մեջ է մտնում պաշտոնական հրապարակման օրվան  հաջորդող տասներորդ օրը:</w:t>
      </w:r>
    </w:p>
    <w:p w:rsidR="00C86B09" w:rsidRPr="00E14302" w:rsidRDefault="006C1682" w:rsidP="00C86B0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br w:type="page"/>
      </w:r>
      <w:r w:rsidR="00C86B09" w:rsidRPr="00E14302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86B09" w:rsidRPr="00E14302" w:rsidRDefault="00C86B09" w:rsidP="00D1329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14302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ԿԱՌԱՎԱՐՈՒԹՅԱՆ 2011 ԹՎԱԿԱՆԻ N 1179-Ն ՈՐՈՇՄԱՆ ՄԵՋ ՓՈՓՈԽՈՒԹՅՈՒՆ</w:t>
      </w:r>
      <w:r w:rsidR="006404D8" w:rsidRPr="00E14302">
        <w:rPr>
          <w:rFonts w:ascii="GHEA Grapalat" w:hAnsi="GHEA Grapalat"/>
          <w:b/>
          <w:sz w:val="24"/>
          <w:szCs w:val="24"/>
          <w:lang w:val="hy-AM"/>
        </w:rPr>
        <w:t>ՆԵՐ ԵՎ ԼՐԱՑՈՒՄ</w:t>
      </w:r>
      <w:r w:rsidRPr="00E1430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ՄԱՍԻՆ ՀԱՅԱՍՏԱՆԻ ՀԱՆՐԱՊԵՏՈՒԹՅԱՆ ԿԱՌԱՎԱՐՈՒԹՅԱՆ ՈՐՈՇՄԱՆ ԸՆԴՈՒՆՄԱՆ</w:t>
      </w:r>
    </w:p>
    <w:p w:rsidR="00C86B09" w:rsidRPr="00E14302" w:rsidRDefault="00C86B09" w:rsidP="00C86B09">
      <w:pPr>
        <w:rPr>
          <w:rFonts w:ascii="GHEA Grapalat" w:hAnsi="GHEA Grapalat"/>
          <w:lang w:val="hy-AM"/>
        </w:rPr>
      </w:pPr>
    </w:p>
    <w:p w:rsidR="00C86B09" w:rsidRPr="00E14302" w:rsidRDefault="00C86B09" w:rsidP="00C86B09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302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DF405B" w:rsidRPr="00E14302" w:rsidRDefault="00DF405B" w:rsidP="00DF405B">
      <w:pPr>
        <w:pStyle w:val="ListParagraph"/>
        <w:tabs>
          <w:tab w:val="left" w:pos="426"/>
        </w:tabs>
        <w:spacing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C6453" w:rsidRPr="00E14302" w:rsidRDefault="00E13F8A" w:rsidP="00E13F8A">
      <w:pPr>
        <w:pStyle w:val="ListParagraph"/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>Համաձայն Հայաստանի Հանրապետության կառավարության 2011 թվականի օգոստոսի 18-ի Սնանկության գործով կառավարչի որակավորման կարգը հաստատելու մասին N 1179-Ն որոշման՝ սնանկության գործով կառավար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>չի ստուգման հանձնաժողով</w:t>
      </w:r>
      <w:r w:rsidR="00E14302">
        <w:rPr>
          <w:rFonts w:ascii="GHEA Grapalat" w:hAnsi="GHEA Grapalat"/>
          <w:sz w:val="24"/>
          <w:szCs w:val="24"/>
          <w:lang w:val="hy-AM"/>
        </w:rPr>
        <w:t>ի կազմը հաստատում է ՀՀ արդարադա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 xml:space="preserve">տության նախարարը: Բացի այդ, որակավորման ստուգման թեստերը կազմում է ՀՀ արդարադատության նախարարությունը: </w:t>
      </w:r>
    </w:p>
    <w:p w:rsidR="00CC6453" w:rsidRPr="00E14302" w:rsidRDefault="00CC6453" w:rsidP="00E13F8A">
      <w:pPr>
        <w:pStyle w:val="ListParagraph"/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 xml:space="preserve">Սակայն, սնանկության հետ կապված հարաբերություններին ուղղված </w:t>
      </w:r>
      <w:r w:rsidR="00E14302" w:rsidRPr="00E14302">
        <w:rPr>
          <w:rFonts w:ascii="GHEA Grapalat" w:hAnsi="GHEA Grapalat"/>
          <w:sz w:val="24"/>
          <w:szCs w:val="24"/>
          <w:lang w:val="hy-AM"/>
        </w:rPr>
        <w:t>քաղաքականության մշակման գործում ՀՀ արդարադատության նախարարությունից բացի մասնակցում են նաև պետական այլ մարմիններ, որոնց ներգրավումը սնանկության գործերով կառավարչի որակավորման ստուգմանը ՀՀ օրենսդրությամբ հստակ նախատեսված չէ:</w:t>
      </w:r>
    </w:p>
    <w:p w:rsidR="00DF405B" w:rsidRPr="00E14302" w:rsidRDefault="00DF405B" w:rsidP="00DF405B">
      <w:pPr>
        <w:pStyle w:val="ListParagraph"/>
        <w:tabs>
          <w:tab w:val="left" w:pos="0"/>
        </w:tabs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86B09" w:rsidRPr="00E14302" w:rsidRDefault="00C86B09" w:rsidP="00C86B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302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CC6453" w:rsidRPr="00E14302" w:rsidRDefault="00EF7541" w:rsidP="00EF7541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2011 թվականի օգոստոսի 18-ի            N 1179-Ն որոշման մեջ փոփոխություն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>ներ</w:t>
      </w:r>
      <w:r w:rsidRPr="00E14302">
        <w:rPr>
          <w:rFonts w:ascii="GHEA Grapalat" w:hAnsi="GHEA Grapalat"/>
          <w:sz w:val="24"/>
          <w:szCs w:val="24"/>
          <w:lang w:val="hy-AM"/>
        </w:rPr>
        <w:t xml:space="preserve"> 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 xml:space="preserve">և լրացում </w:t>
      </w:r>
      <w:r w:rsidRPr="00E14302">
        <w:rPr>
          <w:rFonts w:ascii="GHEA Grapalat" w:hAnsi="GHEA Grapalat"/>
          <w:sz w:val="24"/>
          <w:szCs w:val="24"/>
          <w:lang w:val="hy-AM"/>
        </w:rPr>
        <w:t xml:space="preserve">կատարելու մասին Հայաստանի Հանրապետության որոշման 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 xml:space="preserve">նախագծով առաջարկվում է որակավորման ստուգման հանձնաժողովի կազմում ընդգրկել </w:t>
      </w:r>
      <w:r w:rsidR="00CC6453" w:rsidRPr="00E14302">
        <w:rPr>
          <w:rFonts w:ascii="GHEA Grapalat" w:hAnsi="GHEA Grapalat" w:cs="Sylfaen"/>
          <w:sz w:val="24"/>
          <w:szCs w:val="24"/>
          <w:lang w:val="hy-AM"/>
        </w:rPr>
        <w:t xml:space="preserve">երկու ներկայացուցիչ Հայաստանի Հանրապետության արդարադատության նախարարությունից, մեկական ներկայացուցիչ Հայաստանի Հանրապետության ֆինանսների և էկոնոմիկայի նախարարություններից, Հայաստանի Հանրապետության կառավարությանն առընթեր պետական գույքի կառավարման վարչությունից և 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>Սնանկության գործերով կառավարիչների կոլեգիա ինքնակարգավորվող կազմակերպությունից</w:t>
      </w:r>
      <w:r w:rsidR="00CC6453" w:rsidRPr="00E14302">
        <w:rPr>
          <w:rFonts w:ascii="GHEA Grapalat" w:hAnsi="GHEA Grapalat" w:cs="Sylfaen"/>
          <w:sz w:val="24"/>
          <w:szCs w:val="24"/>
          <w:lang w:val="hy-AM"/>
        </w:rPr>
        <w:t xml:space="preserve">՝ համապատասխանաբար Հայաստանի Հանրապետության արդարադատության, ֆինանսների և էկոնոմիկայի նախարարների, Հայաստանի Հանրապետության </w:t>
      </w:r>
      <w:r w:rsidR="00CC6453" w:rsidRPr="00E1430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կառավարությանն առընթեր պետական գույքի կառավարման վարչության պետի և 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>Սնանկության գործերով կառավարիչների կոլեգիա ինքնակարգավորվող կազմակերպության նախագահի ներկայացմամբ:</w:t>
      </w:r>
    </w:p>
    <w:p w:rsidR="00CC6453" w:rsidRPr="00E14302" w:rsidRDefault="00CC6453" w:rsidP="00EF7541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>Բացի այդ, առաջարկվում է թեստերը կազմել վերը նշված մարմինների համատեղ ջանքերով:</w:t>
      </w:r>
    </w:p>
    <w:p w:rsidR="00CC6453" w:rsidRPr="00E14302" w:rsidRDefault="00CC6453" w:rsidP="00EF7541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86B09" w:rsidRPr="00E14302" w:rsidRDefault="00C86B09" w:rsidP="00C86B09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302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CC6453" w:rsidRPr="00CC6453" w:rsidRDefault="00F4614D" w:rsidP="00F4614D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2011 թվականի օգոստոսի 18-ի            N 1179-Ն որոշման մեջ փոփոխություն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>ներ և լրացում</w:t>
      </w:r>
      <w:r w:rsidRPr="00E14302">
        <w:rPr>
          <w:rFonts w:ascii="GHEA Grapalat" w:hAnsi="GHEA Grapalat"/>
          <w:sz w:val="24"/>
          <w:szCs w:val="24"/>
          <w:lang w:val="hy-AM"/>
        </w:rPr>
        <w:t xml:space="preserve"> կատարելու մասին Հայաստանի Հանրապետության որոշման ընդունման արդյունքում </w:t>
      </w:r>
      <w:r w:rsidR="00CC6453" w:rsidRPr="00E14302">
        <w:rPr>
          <w:rFonts w:ascii="GHEA Grapalat" w:hAnsi="GHEA Grapalat"/>
          <w:sz w:val="24"/>
          <w:szCs w:val="24"/>
          <w:lang w:val="hy-AM"/>
        </w:rPr>
        <w:t xml:space="preserve">սնանկության գործով կառավարչի որակավորման հանձնաժողովի կազմում կընդգրկվեն ոլորտին առնչվող մարմիններից ներկայացուցիչներ, ինչպես նաև վերջիններիս աջակցությամբ նախարարության կողմից կազմվելիք որակավորման ստուգման թեստերը հնարավորություն կտան ամբողջական պատկեր ունենալ որակավորվողի՝ սնանկության ոլորտում գիտելիքների և հմտությունների վերաբերյալ: </w:t>
      </w:r>
      <w:r w:rsidR="00CC645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C86B09" w:rsidRDefault="00C86B09" w:rsidP="00C86B09">
      <w:pPr>
        <w:rPr>
          <w:rFonts w:ascii="GHEA Grapalat" w:hAnsi="GHEA Grapalat"/>
          <w:lang w:val="en-US"/>
        </w:rPr>
      </w:pPr>
    </w:p>
    <w:p w:rsidR="001F27C1" w:rsidRDefault="001F27C1" w:rsidP="00C86B0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86B09" w:rsidRDefault="00D1329B" w:rsidP="00C86B0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br w:type="page"/>
      </w:r>
      <w:r w:rsidR="00C86B09" w:rsidRPr="00FC7E71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 N 1</w:t>
      </w:r>
    </w:p>
    <w:p w:rsidR="00C86B09" w:rsidRPr="00FC7E71" w:rsidRDefault="00C86B09" w:rsidP="00C86B0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D67AC">
        <w:rPr>
          <w:rFonts w:ascii="GHEA Grapalat" w:hAnsi="GHEA Grapalat"/>
          <w:b/>
          <w:sz w:val="24"/>
          <w:szCs w:val="24"/>
          <w:lang w:val="en-US"/>
        </w:rPr>
        <w:t>ՀԱՅԱՍՏԱՆԻ ՀԱՆՐԱՊԵՏՈՒԹՅԱՆ ԿԱՌԱՎԱՐՈՒԹՅԱՆ 2011 ԹՎԱԿԱՆԻ N 1179-Ն ՈՐՈՇՄԱՆ ՄԵՋ ՓՈՓՈԽՈՒԹՅՈՒՆ</w:t>
      </w:r>
      <w:r w:rsidR="00FA1B7D">
        <w:rPr>
          <w:rFonts w:ascii="GHEA Grapalat" w:hAnsi="GHEA Grapalat"/>
          <w:b/>
          <w:sz w:val="24"/>
          <w:szCs w:val="24"/>
          <w:lang w:val="hy-AM"/>
        </w:rPr>
        <w:t>ՆԵՐ ԵՎ ԼՐԱՑՈՒՄ</w:t>
      </w:r>
      <w:r w:rsidRPr="009D67AC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ՄԱՍԻՆ ՀԱՅԱՍՏԱՆԻ ՀԱՆՐԱՊԵՏՈՒԹՅԱՆ ԿԱՌԱՎԱՐՈՒԹՅԱՆ ՈՐՈՇՄԱՆ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ԸՆԴՈՒՆՄԱՆ ԿԱՊԱԿՑՈՒԹՅԱՄԲ </w:t>
      </w:r>
      <w:r w:rsidRPr="00FC7E71">
        <w:rPr>
          <w:rFonts w:ascii="GHEA Grapalat" w:hAnsi="GHEA Grapalat" w:cs="Sylfaen"/>
          <w:b/>
          <w:sz w:val="24"/>
          <w:szCs w:val="24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C86B09" w:rsidRPr="00E14302" w:rsidRDefault="00C86B09" w:rsidP="00C86B09">
      <w:pPr>
        <w:jc w:val="both"/>
        <w:rPr>
          <w:rFonts w:ascii="GHEA Grapalat" w:hAnsi="GHEA Grapalat"/>
          <w:lang w:val="hy-AM"/>
        </w:rPr>
      </w:pPr>
    </w:p>
    <w:p w:rsidR="00C86B09" w:rsidRPr="00E14302" w:rsidRDefault="00C86B09" w:rsidP="00D1329B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E14302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2011 թվականի օգոստոսի 18-ի</w:t>
      </w:r>
      <w:r w:rsidR="00FA1B7D" w:rsidRPr="00E143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4302">
        <w:rPr>
          <w:rFonts w:ascii="GHEA Grapalat" w:hAnsi="GHEA Grapalat"/>
          <w:sz w:val="24"/>
          <w:szCs w:val="24"/>
          <w:lang w:val="hy-AM"/>
        </w:rPr>
        <w:t>N 1179-Ն որոշման մեջ փոփո</w:t>
      </w:r>
      <w:r w:rsidR="000840E4" w:rsidRPr="00E14302">
        <w:rPr>
          <w:rFonts w:ascii="GHEA Grapalat" w:hAnsi="GHEA Grapalat"/>
          <w:sz w:val="24"/>
          <w:szCs w:val="24"/>
          <w:lang w:val="hy-AM"/>
        </w:rPr>
        <w:t>խություն</w:t>
      </w:r>
      <w:r w:rsidR="00FA1B7D" w:rsidRPr="00E14302">
        <w:rPr>
          <w:rFonts w:ascii="GHEA Grapalat" w:hAnsi="GHEA Grapalat"/>
          <w:sz w:val="24"/>
          <w:szCs w:val="24"/>
          <w:lang w:val="hy-AM"/>
        </w:rPr>
        <w:t>ներ</w:t>
      </w:r>
      <w:r w:rsidR="000840E4" w:rsidRPr="00E14302">
        <w:rPr>
          <w:rFonts w:ascii="GHEA Grapalat" w:hAnsi="GHEA Grapalat"/>
          <w:sz w:val="24"/>
          <w:szCs w:val="24"/>
          <w:lang w:val="hy-AM"/>
        </w:rPr>
        <w:t xml:space="preserve"> </w:t>
      </w:r>
      <w:r w:rsidR="00FA1B7D" w:rsidRPr="00E14302">
        <w:rPr>
          <w:rFonts w:ascii="GHEA Grapalat" w:hAnsi="GHEA Grapalat"/>
          <w:sz w:val="24"/>
          <w:szCs w:val="24"/>
          <w:lang w:val="hy-AM"/>
        </w:rPr>
        <w:t xml:space="preserve">և լրացում </w:t>
      </w:r>
      <w:r w:rsidR="000840E4" w:rsidRPr="00E14302">
        <w:rPr>
          <w:rFonts w:ascii="GHEA Grapalat" w:hAnsi="GHEA Grapalat"/>
          <w:sz w:val="24"/>
          <w:szCs w:val="24"/>
          <w:lang w:val="hy-AM"/>
        </w:rPr>
        <w:t>կատարելու մասին</w:t>
      </w:r>
      <w:r w:rsidRPr="00E14302">
        <w:rPr>
          <w:rFonts w:ascii="GHEA Grapalat" w:hAnsi="GHEA Grapalat"/>
          <w:sz w:val="24"/>
          <w:szCs w:val="24"/>
          <w:lang w:val="hy-AM"/>
        </w:rPr>
        <w:t></w:t>
      </w:r>
      <w:r w:rsidR="000840E4" w:rsidRPr="00E14302">
        <w:rPr>
          <w:rFonts w:ascii="GHEA Grapalat" w:hAnsi="GHEA Grapalat"/>
          <w:sz w:val="24"/>
          <w:szCs w:val="24"/>
          <w:lang w:val="hy-AM"/>
        </w:rPr>
        <w:t xml:space="preserve"> Հայաստանի Հանր</w:t>
      </w:r>
      <w:r w:rsidR="001F27C1" w:rsidRPr="00E14302">
        <w:rPr>
          <w:rFonts w:ascii="GHEA Grapalat" w:hAnsi="GHEA Grapalat"/>
          <w:sz w:val="24"/>
          <w:szCs w:val="24"/>
          <w:lang w:val="hy-AM"/>
        </w:rPr>
        <w:t>ապետության որոշման ընդունման կապակցությամբ այլ իրավական ակտերի ընդունման անհրաժեշտություն չի առաջանում:</w:t>
      </w:r>
    </w:p>
    <w:p w:rsidR="00F4614D" w:rsidRPr="00A01538" w:rsidRDefault="00F4614D" w:rsidP="00C86B09">
      <w:pPr>
        <w:jc w:val="center"/>
        <w:rPr>
          <w:rFonts w:ascii="GHEA Grapalat" w:hAnsi="GHEA Grapalat"/>
          <w:lang w:val="en-US"/>
        </w:rPr>
      </w:pPr>
    </w:p>
    <w:p w:rsidR="00C86B09" w:rsidRPr="00A01538" w:rsidRDefault="00C86B09" w:rsidP="00C86B0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C7E71">
        <w:rPr>
          <w:rFonts w:ascii="GHEA Grapalat" w:hAnsi="GHEA Grapalat"/>
          <w:b/>
          <w:sz w:val="24"/>
          <w:szCs w:val="24"/>
          <w:lang w:val="hy-AM"/>
        </w:rPr>
        <w:t>ՏԵՂԵԿԱՆՔ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</w:t>
      </w:r>
      <w:r w:rsidRPr="00A01538">
        <w:rPr>
          <w:rFonts w:ascii="GHEA Grapalat" w:hAnsi="GHEA Grapalat"/>
          <w:b/>
          <w:sz w:val="24"/>
          <w:szCs w:val="24"/>
          <w:lang w:val="en-US"/>
        </w:rPr>
        <w:t>2</w:t>
      </w:r>
    </w:p>
    <w:p w:rsidR="00C86B09" w:rsidRPr="00A01538" w:rsidRDefault="00C86B09" w:rsidP="00C86B0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D67AC">
        <w:rPr>
          <w:rFonts w:ascii="GHEA Grapalat" w:hAnsi="GHEA Grapalat"/>
          <w:b/>
          <w:sz w:val="24"/>
          <w:szCs w:val="24"/>
          <w:lang w:val="en-US"/>
        </w:rPr>
        <w:t>ՀԱՅԱՍՏԱՆԻ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2011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N 1179-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ՄԵՋ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="00FA1B7D">
        <w:rPr>
          <w:rFonts w:ascii="GHEA Grapalat" w:hAnsi="GHEA Grapalat"/>
          <w:b/>
          <w:sz w:val="24"/>
          <w:szCs w:val="24"/>
          <w:lang w:val="hy-AM"/>
        </w:rPr>
        <w:t>ՆԵՐ ԵՎ ԼՐԱՑՈՒՄ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ՄԱՍԻՆ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r w:rsidRPr="00A0153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D67AC">
        <w:rPr>
          <w:rFonts w:ascii="GHEA Grapalat" w:hAnsi="GHEA Grapalat" w:cs="Sylfaen"/>
          <w:b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C86B09" w:rsidRPr="00E14302" w:rsidRDefault="00C86B09" w:rsidP="00C86B09">
      <w:pPr>
        <w:jc w:val="center"/>
        <w:rPr>
          <w:rFonts w:ascii="GHEA Grapalat" w:hAnsi="GHEA Grapalat"/>
          <w:lang w:val="hy-AM"/>
        </w:rPr>
      </w:pPr>
    </w:p>
    <w:p w:rsidR="001F27C1" w:rsidRPr="00E14302" w:rsidRDefault="001F27C1" w:rsidP="001F27C1">
      <w:pPr>
        <w:pStyle w:val="BodyText"/>
        <w:spacing w:line="360" w:lineRule="auto"/>
        <w:ind w:firstLine="426"/>
        <w:jc w:val="both"/>
        <w:rPr>
          <w:rFonts w:ascii="GHEA Grapalat" w:hAnsi="GHEA Grapalat"/>
          <w:b w:val="0"/>
          <w:lang w:val="hy-AM"/>
        </w:rPr>
      </w:pPr>
      <w:r w:rsidRPr="00E14302">
        <w:rPr>
          <w:rFonts w:ascii="GHEA Grapalat" w:hAnsi="GHEA Grapalat"/>
          <w:b w:val="0"/>
          <w:lang w:val="hy-AM"/>
        </w:rPr>
        <w:t>Հայաստանի Հանրապետության կառավարության 2011 թվականի օգոստոսի 18-ի            N 1179-Ն որոշման մեջ փոփոխություն</w:t>
      </w:r>
      <w:r w:rsidR="00FA1B7D" w:rsidRPr="00E14302">
        <w:rPr>
          <w:rFonts w:ascii="GHEA Grapalat" w:hAnsi="GHEA Grapalat"/>
          <w:b w:val="0"/>
          <w:lang w:val="hy-AM"/>
        </w:rPr>
        <w:t>ներ և լրացում</w:t>
      </w:r>
      <w:r w:rsidRPr="00E14302">
        <w:rPr>
          <w:rFonts w:ascii="GHEA Grapalat" w:hAnsi="GHEA Grapalat"/>
          <w:b w:val="0"/>
          <w:lang w:val="hy-AM"/>
        </w:rPr>
        <w:t xml:space="preserve"> կատարելու մասին Հայաստանի Հանրապետության որոշման ընդունման կապակցությամբ պետական բյուջեում</w:t>
      </w:r>
      <w:r w:rsidR="00FA1B7D" w:rsidRPr="00E14302">
        <w:rPr>
          <w:rFonts w:ascii="GHEA Grapalat" w:hAnsi="GHEA Grapalat"/>
          <w:b w:val="0"/>
          <w:lang w:val="hy-AM"/>
        </w:rPr>
        <w:t xml:space="preserve"> էական ավելացում կամ նվազում չի նախատեսվում</w:t>
      </w:r>
      <w:r w:rsidRPr="00E14302">
        <w:rPr>
          <w:rFonts w:ascii="GHEA Grapalat" w:hAnsi="GHEA Grapalat"/>
          <w:b w:val="0"/>
          <w:lang w:val="hy-AM"/>
        </w:rPr>
        <w:t>:</w:t>
      </w:r>
    </w:p>
    <w:tbl>
      <w:tblPr>
        <w:tblW w:w="5256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273"/>
        <w:gridCol w:w="1246"/>
        <w:gridCol w:w="1195"/>
        <w:gridCol w:w="1827"/>
        <w:gridCol w:w="1827"/>
        <w:gridCol w:w="1827"/>
      </w:tblGrid>
      <w:tr w:rsidR="00117ECD" w:rsidRPr="00117ECD" w:rsidTr="00117ECD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bCs/>
                <w:sz w:val="20"/>
                <w:szCs w:val="20"/>
                <w:lang w:val="hy-AM" w:eastAsia="lv-LV"/>
              </w:rPr>
              <w:t xml:space="preserve">ընթացիկ 2012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Հաջորդող 3 տարիները </w:t>
            </w:r>
          </w:p>
        </w:tc>
      </w:tr>
      <w:tr w:rsidR="00117ECD" w:rsidRPr="00117ECD" w:rsidTr="00117ECD">
        <w:tc>
          <w:tcPr>
            <w:tcW w:w="111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119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 xml:space="preserve">2013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  <w:t>2015</w:t>
            </w:r>
          </w:p>
        </w:tc>
      </w:tr>
      <w:tr w:rsidR="00117ECD" w:rsidRPr="00117ECD" w:rsidTr="00117ECD">
        <w:tc>
          <w:tcPr>
            <w:tcW w:w="1115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Ըստ 2012թ. պետական բյուջեի  </w:t>
            </w:r>
          </w:p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փոփոխու-թյունը 2011թ. պետական բյուջեի 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117ECD" w:rsidRPr="00117ECD" w:rsidTr="00117ECD">
        <w:trPr>
          <w:trHeight w:val="279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6 </w:t>
            </w:r>
          </w:p>
        </w:tc>
      </w:tr>
      <w:tr w:rsidR="00117ECD" w:rsidRPr="00117ECD" w:rsidTr="00117ECD">
        <w:trPr>
          <w:trHeight w:val="387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1.1. պետական բյուջեի </w:t>
            </w: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lastRenderedPageBreak/>
              <w:t xml:space="preserve">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lastRenderedPageBreak/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 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3.3. ՏԻՄ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տեսքով)։ 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>4.1. Եկամուտների գնահատում</w:t>
            </w:r>
          </w:p>
        </w:tc>
        <w:tc>
          <w:tcPr>
            <w:tcW w:w="388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3885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17ECD" w:rsidRPr="00117ECD" w:rsidRDefault="00117ECD" w:rsidP="00117ECD">
            <w:pPr>
              <w:spacing w:after="0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  <w:tr w:rsidR="00117ECD" w:rsidRPr="00117ECD" w:rsidTr="00117ECD"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5.  Այլ տեղեկություններ </w:t>
            </w:r>
            <w:r w:rsidRPr="00117ECD">
              <w:rPr>
                <w:rFonts w:ascii="GHEA Grapalat" w:hAnsi="GHEA Grapalat" w:cs="Sylfaen"/>
                <w:bCs/>
                <w:sz w:val="20"/>
                <w:szCs w:val="20"/>
                <w:lang w:val="hy-AM" w:eastAsia="en-US"/>
              </w:rPr>
              <w:t>(եթե այդպիսիք առկա են)</w:t>
            </w:r>
            <w:r w:rsidRPr="00117ECD">
              <w:rPr>
                <w:rFonts w:ascii="GHEA Grapalat" w:hAnsi="GHEA Grapalat"/>
                <w:sz w:val="20"/>
                <w:szCs w:val="20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117ECD" w:rsidRPr="00117ECD" w:rsidRDefault="00117ECD" w:rsidP="00117ECD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hy-AM" w:eastAsia="lv-LV"/>
              </w:rPr>
            </w:pPr>
          </w:p>
        </w:tc>
      </w:tr>
    </w:tbl>
    <w:p w:rsidR="00C86B09" w:rsidRPr="00844D14" w:rsidRDefault="00C86B09" w:rsidP="00C86B09">
      <w:pPr>
        <w:jc w:val="both"/>
        <w:rPr>
          <w:rFonts w:ascii="GHEA Grapalat" w:hAnsi="GHEA Grapalat"/>
          <w:lang w:val="hy-AM"/>
        </w:rPr>
      </w:pPr>
    </w:p>
    <w:p w:rsidR="00C86B09" w:rsidRPr="00844D14" w:rsidRDefault="00C86B09" w:rsidP="002353F4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86B09" w:rsidRPr="00844D14" w:rsidSect="006B4E95">
      <w:pgSz w:w="11906" w:h="16838"/>
      <w:pgMar w:top="709" w:right="1134" w:bottom="90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53B"/>
    <w:multiLevelType w:val="hybridMultilevel"/>
    <w:tmpl w:val="8AC62DD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93A2F06"/>
    <w:multiLevelType w:val="hybridMultilevel"/>
    <w:tmpl w:val="02C81630"/>
    <w:lvl w:ilvl="0" w:tplc="8A2411B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5A76AE4"/>
    <w:multiLevelType w:val="hybridMultilevel"/>
    <w:tmpl w:val="E974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883108"/>
    <w:multiLevelType w:val="hybridMultilevel"/>
    <w:tmpl w:val="950EB23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57F33EE2"/>
    <w:multiLevelType w:val="hybridMultilevel"/>
    <w:tmpl w:val="25CC5EB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B7206EB"/>
    <w:multiLevelType w:val="hybridMultilevel"/>
    <w:tmpl w:val="9150129A"/>
    <w:lvl w:ilvl="0" w:tplc="776E23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141"/>
  <w:characterSpacingControl w:val="doNotCompress"/>
  <w:compat/>
  <w:rsids>
    <w:rsidRoot w:val="006A0940"/>
    <w:rsid w:val="00004A17"/>
    <w:rsid w:val="00006ACE"/>
    <w:rsid w:val="00022C33"/>
    <w:rsid w:val="000311C2"/>
    <w:rsid w:val="0005701A"/>
    <w:rsid w:val="00062016"/>
    <w:rsid w:val="000661D6"/>
    <w:rsid w:val="000840E4"/>
    <w:rsid w:val="000A39AD"/>
    <w:rsid w:val="000B5C65"/>
    <w:rsid w:val="000F24B6"/>
    <w:rsid w:val="00102310"/>
    <w:rsid w:val="00117ECD"/>
    <w:rsid w:val="0012138D"/>
    <w:rsid w:val="001635D5"/>
    <w:rsid w:val="00182FE2"/>
    <w:rsid w:val="001F27C1"/>
    <w:rsid w:val="002077B1"/>
    <w:rsid w:val="002326D8"/>
    <w:rsid w:val="002353F4"/>
    <w:rsid w:val="00243EAC"/>
    <w:rsid w:val="00247FF2"/>
    <w:rsid w:val="0025108A"/>
    <w:rsid w:val="00283B96"/>
    <w:rsid w:val="002B3E4E"/>
    <w:rsid w:val="002E2CD8"/>
    <w:rsid w:val="003373F1"/>
    <w:rsid w:val="0036645C"/>
    <w:rsid w:val="003C71C3"/>
    <w:rsid w:val="00430FEA"/>
    <w:rsid w:val="00444DF2"/>
    <w:rsid w:val="00455544"/>
    <w:rsid w:val="004562F0"/>
    <w:rsid w:val="00463418"/>
    <w:rsid w:val="004824A9"/>
    <w:rsid w:val="004D3FD5"/>
    <w:rsid w:val="004E626A"/>
    <w:rsid w:val="00511C94"/>
    <w:rsid w:val="00555A74"/>
    <w:rsid w:val="005D3829"/>
    <w:rsid w:val="005F37EB"/>
    <w:rsid w:val="006240A0"/>
    <w:rsid w:val="00633148"/>
    <w:rsid w:val="006404D8"/>
    <w:rsid w:val="00646C2B"/>
    <w:rsid w:val="00661828"/>
    <w:rsid w:val="00693914"/>
    <w:rsid w:val="0069630C"/>
    <w:rsid w:val="006A0940"/>
    <w:rsid w:val="006B4E95"/>
    <w:rsid w:val="006C1682"/>
    <w:rsid w:val="006E50BA"/>
    <w:rsid w:val="006F05D4"/>
    <w:rsid w:val="00735354"/>
    <w:rsid w:val="00770BA6"/>
    <w:rsid w:val="0078001E"/>
    <w:rsid w:val="007961BB"/>
    <w:rsid w:val="007C0F78"/>
    <w:rsid w:val="008112E6"/>
    <w:rsid w:val="008252E0"/>
    <w:rsid w:val="00844D14"/>
    <w:rsid w:val="008B3E23"/>
    <w:rsid w:val="00924AD7"/>
    <w:rsid w:val="00934D30"/>
    <w:rsid w:val="00967A4F"/>
    <w:rsid w:val="009D3270"/>
    <w:rsid w:val="009D67AC"/>
    <w:rsid w:val="009F38FA"/>
    <w:rsid w:val="00A00102"/>
    <w:rsid w:val="00A01538"/>
    <w:rsid w:val="00A33E49"/>
    <w:rsid w:val="00A42D40"/>
    <w:rsid w:val="00A6054D"/>
    <w:rsid w:val="00A60877"/>
    <w:rsid w:val="00A7354F"/>
    <w:rsid w:val="00AE37FB"/>
    <w:rsid w:val="00AF41A2"/>
    <w:rsid w:val="00B64032"/>
    <w:rsid w:val="00BB77A1"/>
    <w:rsid w:val="00C12510"/>
    <w:rsid w:val="00C80E82"/>
    <w:rsid w:val="00C86B09"/>
    <w:rsid w:val="00CC6453"/>
    <w:rsid w:val="00CD7AA2"/>
    <w:rsid w:val="00CE28D3"/>
    <w:rsid w:val="00CE6BBB"/>
    <w:rsid w:val="00D01C22"/>
    <w:rsid w:val="00D1329B"/>
    <w:rsid w:val="00D1645F"/>
    <w:rsid w:val="00D52A0C"/>
    <w:rsid w:val="00D857C3"/>
    <w:rsid w:val="00DB0B8B"/>
    <w:rsid w:val="00DB4D48"/>
    <w:rsid w:val="00DC75D9"/>
    <w:rsid w:val="00DF1276"/>
    <w:rsid w:val="00DF405B"/>
    <w:rsid w:val="00E00CCF"/>
    <w:rsid w:val="00E13A3B"/>
    <w:rsid w:val="00E13F8A"/>
    <w:rsid w:val="00E14302"/>
    <w:rsid w:val="00E512F2"/>
    <w:rsid w:val="00E55AF3"/>
    <w:rsid w:val="00E731F6"/>
    <w:rsid w:val="00EF1CEE"/>
    <w:rsid w:val="00EF2F97"/>
    <w:rsid w:val="00EF7541"/>
    <w:rsid w:val="00F2390C"/>
    <w:rsid w:val="00F4614D"/>
    <w:rsid w:val="00F81D12"/>
    <w:rsid w:val="00FA1B7D"/>
    <w:rsid w:val="00FA3C7D"/>
    <w:rsid w:val="00FB2BF4"/>
    <w:rsid w:val="00FC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44"/>
    <w:rPr>
      <w:rFonts w:cs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35D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F27C1"/>
    <w:pPr>
      <w:spacing w:after="0" w:line="240" w:lineRule="auto"/>
      <w:jc w:val="center"/>
    </w:pPr>
    <w:rPr>
      <w:rFonts w:ascii="Times Armenian" w:hAnsi="Times Armenian"/>
      <w:b/>
      <w:bCs/>
      <w:i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27C1"/>
    <w:rPr>
      <w:rFonts w:ascii="Times Armenian" w:hAnsi="Times Armenian" w:cs="Times New Roman"/>
      <w:b/>
      <w:bCs/>
      <w:i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73F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824A9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locked/>
    <w:rsid w:val="00AF41A2"/>
    <w:pPr>
      <w:spacing w:after="0" w:line="240" w:lineRule="auto"/>
      <w:jc w:val="center"/>
    </w:pPr>
    <w:rPr>
      <w:rFonts w:ascii="Times Armenian" w:hAnsi="Times Armenian"/>
      <w:b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AF41A2"/>
    <w:rPr>
      <w:rFonts w:ascii="Times Armenian" w:hAnsi="Times Armenian" w:cs="Times New Roman"/>
      <w:b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&#1405;stice.am" TargetMode="External"/><Relationship Id="rId5" Type="http://schemas.openxmlformats.org/officeDocument/2006/relationships/hyperlink" Target="http://www.azdarar.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7076</Characters>
  <Application>Microsoft Office Word</Application>
  <DocSecurity>0</DocSecurity>
  <Lines>58</Lines>
  <Paragraphs>16</Paragraphs>
  <ScaleCrop>false</ScaleCrop>
  <Company>Toshiba</Company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/>
  <dc:description/>
  <cp:lastModifiedBy>LiaA</cp:lastModifiedBy>
  <cp:revision>2</cp:revision>
  <dcterms:created xsi:type="dcterms:W3CDTF">2012-06-12T13:07:00Z</dcterms:created>
  <dcterms:modified xsi:type="dcterms:W3CDTF">2012-06-12T13:07:00Z</dcterms:modified>
</cp:coreProperties>
</file>