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GHEA Grapalat"/>
          <w:b w:val="0"/>
          <w:bCs w:val="0"/>
          <w:color w:val="000000" w:themeColor="text1"/>
          <w:lang w:val="hy-AM"/>
        </w:rPr>
      </w:pPr>
      <w:r w:rsidRPr="00347AB9">
        <w:rPr>
          <w:rStyle w:val="Strong"/>
          <w:rFonts w:ascii="GHEA Grapalat" w:hAnsi="GHEA Grapalat" w:cs="GHEA Grapalat"/>
          <w:b w:val="0"/>
          <w:bCs w:val="0"/>
          <w:color w:val="000000" w:themeColor="text1"/>
          <w:lang w:val="hy-AM"/>
        </w:rPr>
        <w:t>ՆԱԽԱԳԻԾ</w:t>
      </w: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 w:val="0"/>
          <w:bCs w:val="0"/>
          <w:color w:val="000000" w:themeColor="text1"/>
          <w:lang w:val="hy-AM"/>
        </w:rPr>
      </w:pP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 w:val="0"/>
          <w:bCs w:val="0"/>
          <w:color w:val="000000" w:themeColor="text1"/>
          <w:lang w:val="hy-AM"/>
        </w:rPr>
      </w:pP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Cs/>
          <w:color w:val="000000" w:themeColor="text1"/>
          <w:lang w:val="hy-AM"/>
        </w:rPr>
      </w:pPr>
      <w:r w:rsidRPr="00347AB9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ՀԱՅԱՍՏԱՆԻ ՀԱՆՐԱՊԵՏՈՒԹՅԱՆ ԿԱՌԱՎԱՐՈՒԹՅՈՒՆ</w:t>
      </w: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Cs/>
          <w:color w:val="000000" w:themeColor="text1"/>
          <w:lang w:val="hy-AM"/>
        </w:rPr>
      </w:pPr>
      <w:r w:rsidRPr="00347AB9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Ո Ր Ո Շ ՈՒ Մ</w:t>
      </w: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hAnsi="GHEA Grapalat" w:cs="GHEA Grapalat"/>
          <w:color w:val="000000" w:themeColor="text1"/>
          <w:lang w:val="hy-AM"/>
        </w:rPr>
        <w:t>201</w:t>
      </w:r>
      <w:r w:rsidR="00F66F30" w:rsidRPr="00347AB9">
        <w:rPr>
          <w:rFonts w:ascii="GHEA Grapalat" w:hAnsi="GHEA Grapalat" w:cs="GHEA Grapalat"/>
          <w:color w:val="000000" w:themeColor="text1"/>
          <w:lang w:val="hy-AM"/>
        </w:rPr>
        <w:t>9</w:t>
      </w:r>
      <w:r w:rsidRPr="00347AB9">
        <w:rPr>
          <w:rFonts w:ascii="GHEA Grapalat" w:hAnsi="GHEA Grapalat" w:cs="GHEA Grapalat"/>
          <w:color w:val="000000" w:themeColor="text1"/>
          <w:lang w:val="hy-AM"/>
        </w:rPr>
        <w:t xml:space="preserve"> ______________________ N ______ –Ն</w:t>
      </w: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 w:themeColor="text1"/>
          <w:lang w:val="hy-AM"/>
        </w:rPr>
      </w:pPr>
    </w:p>
    <w:p w:rsidR="00B56BF5" w:rsidRPr="00347AB9" w:rsidRDefault="00B56BF5" w:rsidP="00B56BF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 w:themeColor="text1"/>
          <w:lang w:val="hy-AM"/>
        </w:rPr>
      </w:pPr>
    </w:p>
    <w:p w:rsidR="00122FDC" w:rsidRPr="00347AB9" w:rsidRDefault="00122FDC" w:rsidP="009C72C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ԴԱՏԱՎՈՐԻ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ՊԱՇՏՈՆՈՒՄ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ՆՇԱՆԱԿՄԱՆԸ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ԽՈՉԸՆԴՈՏՈՂ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="0043134C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ՖԻԶԻԿԱԿԱՆ ԱՐԱՏՆԵՐԻ ԵՎ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ՀԻՎԱՆԴՈՒԹՅՈՒՆՆԵՐԻ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ՑԱՆԿԸ</w:t>
      </w:r>
      <w:r w:rsidR="00B673E8"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, </w:t>
      </w:r>
      <w:r w:rsidR="00B673E8" w:rsidRPr="00347AB9">
        <w:rPr>
          <w:rFonts w:ascii="GHEA Grapalat" w:hAnsi="GHEA Grapalat" w:cs="GHEA Grapalat"/>
          <w:color w:val="000000" w:themeColor="text1"/>
          <w:lang w:val="hy-AM"/>
        </w:rPr>
        <w:t xml:space="preserve">ԴԱՏԱՎՈՐԻ ՊԱՇՏՈՆՈՒՄ </w:t>
      </w:r>
      <w:r w:rsidR="00B673E8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ՆՇԱՆԱԿՄԱՆԸ ԽՈՉԸՆԴՈՏՈՂ </w:t>
      </w:r>
      <w:r w:rsidR="0043134C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ՖԻԶԻԿԱԿԱՆ ԱՐԱՏՆԵՐԻ ԵՎ </w:t>
      </w:r>
      <w:r w:rsidR="00B673E8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ՀԻՎԱՆԴՈՒԹՅՈՒՆՆԵՐԻ ԲԱՑԱԿԱՅՈՒԹՅԱՆ ՄԱՍԻՆ ՏՐԱՄԱԴՐՎՈՂ ՏԵՂԵԿԱՆՔԻ ՁԵՎԸ</w:t>
      </w:r>
      <w:r w:rsidR="00DE6F5E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B673E8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ԴԱՏԱՎՈՐԻ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ՊԱՇՏՈՆՈՒՄ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ՆՇԱՆԱԿՄԱՆԸ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ԽՈՉԸՆԴՈՏՈՂ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="0043134C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ՖԻԶԻԿԱԿԱՆ ԱՐԱՏՆԵՐԻ ԵՎ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ՀԻՎԱՆԴՈՒԹՅՈՒՆՆԵՐԻ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ԲԱՑԱԿԱՅՈՒԹՅԱՆ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ՄԱՍԻՆ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ՏԵՂԵԿԱՆՔ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ՏՐԱՄԱԴՐԵԼՈՒ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ԿԱՐԳԸ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ՍԱՀՄԱՆԵԼՈՒ</w:t>
      </w:r>
      <w:r w:rsidR="00223568"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ԵՎ ՀԱՅԱՍՏԱՆԻ ՀԱՆՐԱՊԵՏՈՒԹՅԱՆ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Կ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ԱՌԱՎԱՐՈՒԹՅԱՆ  2007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ԹՎԱԿԱՆԻ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ՀՈԿՏԵՄԲԵՐԻ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11-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N 1184-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Ն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ՈՐՈՇՈՒՄԸ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ՈՒԺԸ ԿՈՐՑՐԱԾ ՃԱՆԱՉԵԼՈՒ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ՄԱՍԻՆ</w:t>
      </w:r>
    </w:p>
    <w:p w:rsidR="00122FDC" w:rsidRPr="00347AB9" w:rsidRDefault="00122FDC" w:rsidP="00B56BF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353589" w:rsidRPr="00347AB9" w:rsidRDefault="007A7A38" w:rsidP="00477056">
      <w:pPr>
        <w:pStyle w:val="NormalWeb"/>
        <w:spacing w:line="360" w:lineRule="auto"/>
        <w:ind w:firstLine="374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hAnsi="GHEA Grapalat" w:cs="GHEA Grapalat"/>
          <w:color w:val="000000" w:themeColor="text1"/>
          <w:lang w:val="hy-AM"/>
        </w:rPr>
        <w:t xml:space="preserve">Հիմք ընդունելով </w:t>
      </w:r>
      <w:r w:rsidR="008A782D" w:rsidRPr="00347AB9">
        <w:rPr>
          <w:rFonts w:ascii="GHEA Grapalat" w:hAnsi="GHEA Grapalat" w:cs="Sylfaen"/>
          <w:color w:val="000000" w:themeColor="text1"/>
          <w:lang w:val="hy-AM"/>
        </w:rPr>
        <w:t xml:space="preserve">«Հայաստանի Հանրապետության դատական օրենսգիրք» սահմանադրական </w:t>
      </w:r>
      <w:r w:rsidR="00122FDC" w:rsidRPr="00347AB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A782D" w:rsidRPr="00347AB9">
        <w:rPr>
          <w:rFonts w:ascii="GHEA Grapalat" w:hAnsi="GHEA Grapalat" w:cs="Sylfaen"/>
          <w:color w:val="000000" w:themeColor="text1"/>
          <w:lang w:val="hy-AM"/>
        </w:rPr>
        <w:t>օրենքի 98-րդ հոդվածի 2-րդ մասի 10-րդ կետը և 112-րդ հոդվածի 2-րդ մասը</w:t>
      </w:r>
      <w:r w:rsidR="000C07EC" w:rsidRPr="00347AB9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 </w:t>
      </w:r>
      <w:r w:rsidRPr="00347AB9">
        <w:rPr>
          <w:rFonts w:ascii="GHEA Grapalat" w:hAnsi="GHEA Grapalat" w:cs="GHEA Grapalat"/>
          <w:color w:val="000000" w:themeColor="text1"/>
          <w:lang w:val="hy-AM"/>
        </w:rPr>
        <w:t>Հայաստանի Հանրապետության կառավարությունը որոշում է.</w:t>
      </w:r>
    </w:p>
    <w:p w:rsidR="00CB4232" w:rsidRPr="00347AB9" w:rsidRDefault="00122FDC" w:rsidP="00223568">
      <w:pPr>
        <w:pStyle w:val="NormalWeb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hAnsi="GHEA Grapalat" w:cs="GHEA Grapalat"/>
          <w:color w:val="000000" w:themeColor="text1"/>
          <w:lang w:val="hy-AM"/>
        </w:rPr>
        <w:t>1</w:t>
      </w:r>
      <w:r w:rsidR="00CB4232" w:rsidRPr="00347AB9">
        <w:rPr>
          <w:rFonts w:ascii="GHEA Grapalat" w:hAnsi="GHEA Grapalat" w:cs="GHEA Grapalat"/>
          <w:color w:val="000000" w:themeColor="text1"/>
          <w:lang w:val="hy-AM"/>
        </w:rPr>
        <w:t>. Սահմանել՝</w:t>
      </w:r>
    </w:p>
    <w:p w:rsidR="00CB4232" w:rsidRPr="00347AB9" w:rsidRDefault="00F24BEA" w:rsidP="00223568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hAnsi="GHEA Grapalat" w:cs="GHEA Grapalat"/>
          <w:color w:val="000000" w:themeColor="text1"/>
          <w:lang w:val="hy-AM"/>
        </w:rPr>
        <w:t xml:space="preserve">  </w:t>
      </w:r>
      <w:r w:rsidR="000350EE" w:rsidRPr="00347AB9">
        <w:rPr>
          <w:rFonts w:ascii="GHEA Grapalat" w:hAnsi="GHEA Grapalat" w:cs="GHEA Grapalat"/>
          <w:color w:val="000000" w:themeColor="text1"/>
          <w:lang w:val="hy-AM"/>
        </w:rPr>
        <w:t xml:space="preserve">1) </w:t>
      </w:r>
      <w:r w:rsidR="00CB4232" w:rsidRPr="00347AB9">
        <w:rPr>
          <w:rFonts w:ascii="GHEA Grapalat" w:hAnsi="GHEA Grapalat" w:cs="GHEA Grapalat"/>
          <w:color w:val="000000" w:themeColor="text1"/>
          <w:lang w:val="hy-AM"/>
        </w:rPr>
        <w:t xml:space="preserve">դատավորի պաշտոնում նշանակմանը խոչընդոտող </w:t>
      </w:r>
      <w:r w:rsidR="0043134C" w:rsidRPr="00347AB9">
        <w:rPr>
          <w:rFonts w:ascii="GHEA Grapalat" w:hAnsi="GHEA Grapalat" w:cs="GHEA Grapalat"/>
          <w:color w:val="000000" w:themeColor="text1"/>
          <w:lang w:val="hy-AM"/>
        </w:rPr>
        <w:t xml:space="preserve">ֆիզիկական արատների և </w:t>
      </w:r>
      <w:r w:rsidR="00CB4232" w:rsidRPr="00347AB9">
        <w:rPr>
          <w:rFonts w:ascii="GHEA Grapalat" w:hAnsi="GHEA Grapalat" w:cs="GHEA Grapalat"/>
          <w:color w:val="000000" w:themeColor="text1"/>
          <w:lang w:val="hy-AM"/>
        </w:rPr>
        <w:t>հիվանդությունների ցանկը` համաձայն N 1 հավելվածի,</w:t>
      </w:r>
    </w:p>
    <w:p w:rsidR="00F93AE3" w:rsidRPr="00347AB9" w:rsidRDefault="00F93AE3" w:rsidP="0022356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347AB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2)</w:t>
      </w:r>
      <w:r w:rsidR="000350EE" w:rsidRPr="00347AB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CB4232" w:rsidRPr="00347AB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դատավորի պաշտոնում </w:t>
      </w:r>
      <w:r w:rsidR="00CB4232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նշանակմանը խոչընդոտող </w:t>
      </w:r>
      <w:r w:rsidR="0043134C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ֆիզիկական արատների և </w:t>
      </w:r>
      <w:r w:rsidR="00CB4232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հիվանդությունների բացակայության մասին տրամադրվող տեղեկանքի </w:t>
      </w:r>
      <w:proofErr w:type="spellStart"/>
      <w:r w:rsidR="00CB4232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ձևը</w:t>
      </w:r>
      <w:proofErr w:type="spellEnd"/>
      <w:r w:rsidR="00CB4232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 համաձայն N 2 հավելվածի</w:t>
      </w:r>
      <w:r w:rsidR="00223568" w:rsidRPr="00347AB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F24BEA" w:rsidRPr="00347AB9" w:rsidRDefault="00F93AE3" w:rsidP="00F24BEA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eastAsia="Calibri" w:hAnsi="GHEA Grapalat"/>
          <w:bCs/>
          <w:color w:val="000000" w:themeColor="text1"/>
          <w:lang w:val="hy-AM"/>
        </w:rPr>
        <w:lastRenderedPageBreak/>
        <w:t xml:space="preserve">3) </w:t>
      </w:r>
      <w:r w:rsidR="00F533CB" w:rsidRPr="00347AB9">
        <w:rPr>
          <w:rFonts w:ascii="GHEA Grapalat" w:eastAsia="Calibri" w:hAnsi="GHEA Grapalat"/>
          <w:bCs/>
          <w:color w:val="000000" w:themeColor="text1"/>
          <w:lang w:val="hy-AM"/>
        </w:rPr>
        <w:t xml:space="preserve">դատավորի պաշտոնում նշանակմանը խոչընդոտող ֆիզիկական արատների և հիվանդությունների բացակայության </w:t>
      </w:r>
      <w:r w:rsidR="001B6262" w:rsidRPr="00347AB9">
        <w:rPr>
          <w:rFonts w:ascii="GHEA Grapalat" w:eastAsia="Calibri" w:hAnsi="GHEA Grapalat"/>
          <w:bCs/>
          <w:color w:val="000000" w:themeColor="text1"/>
          <w:lang w:val="hy-AM"/>
        </w:rPr>
        <w:t xml:space="preserve">մասին </w:t>
      </w:r>
      <w:r w:rsidR="00F533CB" w:rsidRPr="00347AB9">
        <w:rPr>
          <w:rFonts w:ascii="GHEA Grapalat" w:eastAsia="Calibri" w:hAnsi="GHEA Grapalat"/>
          <w:bCs/>
          <w:color w:val="000000" w:themeColor="text1"/>
          <w:lang w:val="hy-AM"/>
        </w:rPr>
        <w:t xml:space="preserve">տեղեկանք տրամադրելու </w:t>
      </w:r>
      <w:r w:rsidR="00F24BEA" w:rsidRPr="00347AB9">
        <w:rPr>
          <w:rFonts w:ascii="GHEA Grapalat" w:eastAsia="Calibri" w:hAnsi="GHEA Grapalat"/>
          <w:bCs/>
          <w:color w:val="000000" w:themeColor="text1"/>
          <w:lang w:val="hy-AM"/>
        </w:rPr>
        <w:t>կարգը`</w:t>
      </w:r>
      <w:r w:rsidR="00F24BEA" w:rsidRPr="00347AB9">
        <w:rPr>
          <w:rFonts w:ascii="GHEA Grapalat" w:hAnsi="GHEA Grapalat" w:cs="GHEA Grapalat"/>
          <w:color w:val="000000" w:themeColor="text1"/>
          <w:lang w:val="hy-AM"/>
        </w:rPr>
        <w:t xml:space="preserve"> համաձայն N 3</w:t>
      </w:r>
      <w:r w:rsidR="00223568" w:rsidRPr="00347AB9">
        <w:rPr>
          <w:rFonts w:ascii="GHEA Grapalat" w:hAnsi="GHEA Grapalat" w:cs="GHEA Grapalat"/>
          <w:color w:val="000000" w:themeColor="text1"/>
          <w:lang w:val="hy-AM"/>
        </w:rPr>
        <w:t xml:space="preserve"> հավելվածի:</w:t>
      </w:r>
    </w:p>
    <w:p w:rsidR="00122FDC" w:rsidRPr="00347AB9" w:rsidRDefault="00122FDC" w:rsidP="004F74A1">
      <w:pPr>
        <w:pStyle w:val="NormalWeb"/>
        <w:spacing w:before="0" w:beforeAutospacing="0" w:line="360" w:lineRule="auto"/>
        <w:contextualSpacing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2. </w:t>
      </w:r>
      <w:r w:rsidRPr="00347AB9">
        <w:rPr>
          <w:rFonts w:ascii="GHEA Grapalat" w:hAnsi="GHEA Grapalat" w:cs="GHEA Grapalat"/>
          <w:color w:val="000000" w:themeColor="text1"/>
          <w:lang w:val="hy-AM"/>
        </w:rPr>
        <w:t xml:space="preserve">Ուժը կորցրած ճանաչել </w:t>
      </w:r>
      <w:r w:rsidRPr="00347AB9">
        <w:rPr>
          <w:rStyle w:val="Strong"/>
          <w:rFonts w:ascii="GHEA Grapalat" w:hAnsi="GHEA Grapalat" w:cs="Arial"/>
          <w:b w:val="0"/>
          <w:color w:val="000000" w:themeColor="text1"/>
          <w:lang w:val="hy-AM"/>
        </w:rPr>
        <w:t>Հայաստանի</w:t>
      </w:r>
      <w:r w:rsidRPr="00347AB9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 </w:t>
      </w:r>
      <w:r w:rsidRPr="00347AB9">
        <w:rPr>
          <w:rStyle w:val="Strong"/>
          <w:rFonts w:ascii="GHEA Grapalat" w:hAnsi="GHEA Grapalat" w:cs="Arial"/>
          <w:b w:val="0"/>
          <w:color w:val="000000" w:themeColor="text1"/>
          <w:lang w:val="hy-AM"/>
        </w:rPr>
        <w:t>Հանրապետության</w:t>
      </w:r>
      <w:r w:rsidRPr="00347AB9">
        <w:rPr>
          <w:rStyle w:val="Strong"/>
          <w:rFonts w:ascii="GHEA Grapalat" w:hAnsi="GHEA Grapalat" w:cs="GHEA Grapalat"/>
          <w:color w:val="000000" w:themeColor="text1"/>
          <w:lang w:val="hy-AM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կառավարության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2007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թվականի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հոկտեմբերի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11-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223568" w:rsidRPr="00347AB9">
        <w:rPr>
          <w:rFonts w:ascii="Arial Unicode" w:hAnsi="Arial Unicode"/>
          <w:b/>
          <w:bCs/>
          <w:color w:val="000000" w:themeColor="text1"/>
          <w:sz w:val="21"/>
          <w:szCs w:val="21"/>
          <w:shd w:val="clear" w:color="auto" w:fill="FFFFFF"/>
          <w:lang w:val="hy-AM"/>
        </w:rPr>
        <w:t xml:space="preserve"> </w:t>
      </w:r>
      <w:r w:rsidR="00223568" w:rsidRPr="00347AB9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«Դատավորի պաշտոնում նշանակմանը խոչընդոտող ֆիզիկական արատների և հիվանդությունների ցանկը սահմանելու մասին»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թիվ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1184-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Ն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որոշումը:</w:t>
      </w:r>
    </w:p>
    <w:p w:rsidR="00223568" w:rsidRPr="00347AB9" w:rsidRDefault="00223568" w:rsidP="00223568">
      <w:pPr>
        <w:pStyle w:val="NormalWeb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347AB9">
        <w:rPr>
          <w:rFonts w:ascii="GHEA Grapalat" w:hAnsi="GHEA Grapalat"/>
          <w:color w:val="000000" w:themeColor="text1"/>
          <w:shd w:val="clear" w:color="auto" w:fill="FFFFFF"/>
          <w:lang w:val="hy-AM"/>
        </w:rPr>
        <w:t>3. Սույն որոշումն ուժի մեջ է մտնում պաշտոնական հրապարակմանը հաջորդող օրվանից։</w:t>
      </w:r>
      <w:r w:rsidRPr="00347AB9">
        <w:rPr>
          <w:rFonts w:ascii="GHEA Grapalat" w:hAnsi="GHEA Grapalat" w:cs="GHEA Grapalat"/>
          <w:color w:val="000000" w:themeColor="text1"/>
          <w:lang w:val="hy-AM"/>
        </w:rPr>
        <w:t xml:space="preserve"> </w:t>
      </w:r>
    </w:p>
    <w:p w:rsidR="00223568" w:rsidRPr="00347AB9" w:rsidRDefault="00223568" w:rsidP="004F74A1">
      <w:pPr>
        <w:pStyle w:val="NormalWeb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 w:themeColor="text1"/>
          <w:lang w:val="hy-AM"/>
        </w:rPr>
      </w:pPr>
    </w:p>
    <w:p w:rsidR="00B56BF5" w:rsidRPr="00347AB9" w:rsidRDefault="0086656D" w:rsidP="00752246">
      <w:pPr>
        <w:spacing w:after="0" w:line="276" w:lineRule="auto"/>
        <w:jc w:val="right"/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eastAsia="Times New Roman" w:hAnsi="GHEA Grapalat" w:cs="Calibri"/>
          <w:color w:val="000000" w:themeColor="text1"/>
          <w:sz w:val="20"/>
          <w:szCs w:val="20"/>
          <w:highlight w:val="yellow"/>
          <w:lang w:val="hy-AM"/>
        </w:rPr>
        <w:br w:type="column"/>
      </w:r>
      <w:r w:rsidR="00752246" w:rsidRPr="00347AB9"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  <w:lastRenderedPageBreak/>
        <w:t xml:space="preserve">Հավելված </w:t>
      </w:r>
      <w:r w:rsidR="005E4405" w:rsidRPr="00347AB9"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  <w:t>N 1</w:t>
      </w:r>
    </w:p>
    <w:p w:rsidR="00752246" w:rsidRPr="00347AB9" w:rsidRDefault="00752246" w:rsidP="00752246">
      <w:pPr>
        <w:spacing w:after="0" w:line="276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ՀՀ</w:t>
      </w:r>
      <w:r w:rsidR="002B5AB1"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կառավարության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201</w:t>
      </w:r>
      <w:r w:rsidR="003D493D"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>9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թվականի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N 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ab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Ն</w:t>
      </w:r>
      <w:r w:rsidR="002B5AB1"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որոշման</w:t>
      </w:r>
    </w:p>
    <w:p w:rsidR="00B3698E" w:rsidRPr="00347AB9" w:rsidRDefault="00B3698E" w:rsidP="00752246">
      <w:pPr>
        <w:spacing w:after="0" w:line="276" w:lineRule="auto"/>
        <w:jc w:val="right"/>
        <w:rPr>
          <w:rFonts w:ascii="GHEA Grapalat" w:eastAsia="Times New Roman" w:hAnsi="GHEA Grapalat" w:cs="Calibri"/>
          <w:color w:val="000000" w:themeColor="text1"/>
          <w:sz w:val="20"/>
          <w:szCs w:val="20"/>
          <w:lang w:val="hy-AM"/>
        </w:rPr>
      </w:pPr>
    </w:p>
    <w:p w:rsidR="00752246" w:rsidRPr="00347AB9" w:rsidRDefault="00752246" w:rsidP="005403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3698E" w:rsidRPr="00347AB9" w:rsidRDefault="00B3698E" w:rsidP="0075224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ՑԱՆԿ</w:t>
      </w:r>
    </w:p>
    <w:p w:rsidR="0086656D" w:rsidRPr="00347AB9" w:rsidRDefault="0086656D" w:rsidP="007F0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ԴԱՏԱՎՈՐԻ ՊԱՇՏՈՆՈՒՄ ՆՇԱՆԱԿՄԱՆԸ ԽՈՉԸՆԴՈՏՈՂ </w:t>
      </w:r>
      <w:r w:rsidR="0043134C" w:rsidRPr="00347AB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ՖԻԶԻԿԱԿԱՆ ԱՐԱՏՆԵՐԻ ԵՎ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ՀԻՎԱՆԴՈՒԹՅՈՒՆՆԵՐԻ </w:t>
      </w:r>
    </w:p>
    <w:p w:rsidR="004950A9" w:rsidRPr="00347AB9" w:rsidRDefault="004950A9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4950A9" w:rsidRPr="00347AB9" w:rsidRDefault="004950A9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CB3048" w:rsidRPr="00347AB9" w:rsidRDefault="00CB3048" w:rsidP="00CB3048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I</w:t>
      </w:r>
      <w:r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  <w:r w:rsidRPr="00347AB9"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hy-AM" w:eastAsia="ru-RU"/>
        </w:rPr>
        <w:t>ՖԻԶԻԿԱԿԱՆ</w:t>
      </w:r>
      <w:r w:rsidRPr="00347AB9">
        <w:rPr>
          <w:rFonts w:ascii="GHEA Grapalat" w:eastAsia="Times New Roman" w:hAnsi="GHEA Grapalat" w:cs="Times New Roman"/>
          <w:b/>
          <w:bCs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hy-AM" w:eastAsia="ru-RU"/>
        </w:rPr>
        <w:t>ԱՐԱՏՆԵՐ</w:t>
      </w:r>
    </w:p>
    <w:p w:rsidR="00CB3048" w:rsidRPr="00347AB9" w:rsidRDefault="00CB3048" w:rsidP="00CB3048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y-AM" w:eastAsia="ru-RU"/>
        </w:rPr>
        <w:t> </w:t>
      </w:r>
    </w:p>
    <w:p w:rsidR="00CB3048" w:rsidRPr="00347AB9" w:rsidRDefault="00CB3048" w:rsidP="00CB3048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1.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Կուրություն</w:t>
      </w:r>
    </w:p>
    <w:p w:rsidR="00CB3048" w:rsidRPr="00347AB9" w:rsidRDefault="00CB3048" w:rsidP="00CB3048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2.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Խլություն</w:t>
      </w:r>
    </w:p>
    <w:p w:rsidR="00CB3048" w:rsidRPr="00347AB9" w:rsidRDefault="00CB3048" w:rsidP="00CB3048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3.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Համրություն</w:t>
      </w:r>
    </w:p>
    <w:p w:rsidR="00CB3048" w:rsidRPr="00347AB9" w:rsidRDefault="00CB3048" w:rsidP="00CB304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</w:p>
    <w:p w:rsidR="00CB3048" w:rsidRPr="00347AB9" w:rsidRDefault="00CB3048" w:rsidP="00CB304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 w:eastAsia="ru-RU"/>
        </w:rPr>
      </w:pP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II.</w:t>
      </w:r>
      <w:r w:rsidRPr="00347AB9">
        <w:rPr>
          <w:rFonts w:ascii="GHEA Grapalat" w:eastAsia="Times New Roman" w:hAnsi="GHEA Grapalat" w:cs="Sylfaen"/>
          <w:b/>
          <w:bCs/>
          <w:iCs/>
          <w:color w:val="000000" w:themeColor="text1"/>
          <w:sz w:val="24"/>
          <w:szCs w:val="24"/>
          <w:lang w:val="ru-RU" w:eastAsia="ru-RU"/>
        </w:rPr>
        <w:t>ՀԻՎԱՆԴՈՒԹՅՈՒՆՆԵՐ</w:t>
      </w:r>
    </w:p>
    <w:p w:rsidR="007F0BB5" w:rsidRPr="00347AB9" w:rsidRDefault="007F0BB5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540383" w:rsidRPr="00347AB9" w:rsidRDefault="00540383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540383" w:rsidRPr="00347AB9" w:rsidRDefault="00540383" w:rsidP="0063188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Հոգեկան </w:t>
      </w:r>
      <w:r w:rsidR="007F0BB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վարքային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խանգարումներ (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F00-F16, F18, F19</w:t>
      </w:r>
      <w:r w:rsidR="00E71BB6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F39</w:t>
      </w:r>
      <w:r w:rsidR="009701E4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46991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F60-F61, 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F44.1</w:t>
      </w:r>
      <w:r w:rsidR="009701E4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F44.2</w:t>
      </w:r>
      <w:r w:rsidR="009701E4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631888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31888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F44.3, F44.6, 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F44.8</w:t>
      </w:r>
      <w:r w:rsidR="009701E4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F63</w:t>
      </w:r>
      <w:r w:rsidR="009701E4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71BB6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F70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-F89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7F0BB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683A22" w:rsidRPr="00347AB9" w:rsidRDefault="00CB3048" w:rsidP="00683A2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5. </w:t>
      </w:r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Կենտրոնական նյարդային համակարգի խրոնիկ </w:t>
      </w:r>
      <w:proofErr w:type="spellStart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պրոգր</w:t>
      </w:r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</w:t>
      </w:r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</w:t>
      </w:r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վող</w:t>
      </w:r>
      <w:proofErr w:type="spellEnd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հիվանդություններ` արյան շրջանառության սուր և խրոնիկ խանգարումներով, </w:t>
      </w:r>
      <w:proofErr w:type="spellStart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տետրապլեգիայով</w:t>
      </w:r>
      <w:proofErr w:type="spellEnd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արտահայտված </w:t>
      </w:r>
      <w:proofErr w:type="spellStart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թուլամտությամբ</w:t>
      </w:r>
      <w:proofErr w:type="spellEnd"/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կոնքի օրգանների ֆունկցիայի խանգարումներով (G30, </w:t>
      </w:r>
      <w:r w:rsidR="00683A22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I60-I69</w:t>
      </w:r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):</w:t>
      </w:r>
    </w:p>
    <w:p w:rsidR="00540383" w:rsidRPr="00347AB9" w:rsidRDefault="00CB3048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6. </w:t>
      </w:r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Կողմնային </w:t>
      </w:r>
      <w:proofErr w:type="spellStart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ամիոտրոֆիկ</w:t>
      </w:r>
      <w:proofErr w:type="spellEnd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սկլերոզ</w:t>
      </w:r>
      <w:proofErr w:type="spellEnd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շարժողական ֆունկցիայի </w:t>
      </w:r>
      <w:proofErr w:type="spellStart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խանգարումով</w:t>
      </w:r>
      <w:proofErr w:type="spellEnd"/>
      <w:r w:rsidR="0054038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(G35):</w:t>
      </w:r>
    </w:p>
    <w:p w:rsidR="004950A9" w:rsidRPr="00347AB9" w:rsidRDefault="00346991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4950A9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Էպիլեպսիա</w:t>
      </w:r>
      <w:r w:rsidR="00683A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հաճախակի նոպաների և անձի արտահայտված փոփոխությունների առկայությամբ</w:t>
      </w:r>
      <w:r w:rsidR="004950A9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4950A9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G40</w:t>
      </w:r>
      <w:r w:rsidR="004950A9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0021C2" w:rsidRPr="00347AB9" w:rsidRDefault="00346991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Միասթենիա</w:t>
      </w:r>
      <w:proofErr w:type="spellEnd"/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(G70.0):</w:t>
      </w:r>
    </w:p>
    <w:p w:rsidR="000021C2" w:rsidRPr="00347AB9" w:rsidRDefault="00346991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Միոպաթիա (G71.2-G72):</w:t>
      </w:r>
    </w:p>
    <w:p w:rsidR="000021C2" w:rsidRPr="00347AB9" w:rsidRDefault="00CB3048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0021C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Նյարդային համակարգի բնածին (զարգացման) արատներ (Q00-Q07):</w:t>
      </w:r>
    </w:p>
    <w:p w:rsidR="00B3698E" w:rsidRPr="00347AB9" w:rsidRDefault="00346991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11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Զարկերակային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գերճնշում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բարդացված նյարդային կենտրոնական համակարգի, սրտամկանի,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ակնահատակի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երիկամների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ախտահարումով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խիստ արտահայտված ֆունկցիաների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խանգարումով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դեկոմպենսացված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փուլում (</w:t>
      </w:r>
      <w:r w:rsidR="00E71BB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I</w:t>
      </w:r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="00E71BB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B3698E" w:rsidRPr="00347AB9" w:rsidRDefault="00346991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12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Սրտային անբավարարություն`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դիստրոֆիկ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փուլում, բարդացված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ասցիտով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անասարկայով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(I50):</w:t>
      </w:r>
    </w:p>
    <w:p w:rsidR="00B3698E" w:rsidRPr="00347AB9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13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Շաքարային դիաբետ`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դեկոմպենսացված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փուլում, երիկամների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ախտահարումով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ծանր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ձևի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դիաբետիկ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նեֆրոպաթիա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երիկամային անբավարարություն (</w:t>
      </w:r>
      <w:r w:rsidR="00AA4D3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E10-E14† </w:t>
      </w:r>
      <w:r w:rsidR="00E00990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N08.3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):</w:t>
      </w:r>
    </w:p>
    <w:p w:rsidR="00B3698E" w:rsidRPr="00347AB9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Չարորակ նորագոյացություններ</w:t>
      </w:r>
      <w:r w:rsidR="0060722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4-րդ փուլում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մետաստատիկ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քայքայումով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(</w:t>
      </w:r>
      <w:r w:rsidR="00E71BB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C00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):</w:t>
      </w:r>
    </w:p>
    <w:p w:rsidR="00607220" w:rsidRPr="00347AB9" w:rsidRDefault="00CB3048" w:rsidP="00CB304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Արյան չարորակ հիվանդություններ` 4-րդ փուլում, բուժման ոչ ենթակա </w:t>
      </w:r>
      <w:proofErr w:type="spellStart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ձևերով</w:t>
      </w:r>
      <w:proofErr w:type="spellEnd"/>
      <w:r w:rsidR="00B3698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(C97):</w:t>
      </w:r>
    </w:p>
    <w:p w:rsidR="00F76AC8" w:rsidRPr="00347AB9" w:rsidRDefault="00607220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Շնչառական օրգանների տուբերկուլյոզ` հաստատված </w:t>
      </w:r>
      <w:proofErr w:type="spellStart"/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մանրէաբանորեն</w:t>
      </w:r>
      <w:proofErr w:type="spellEnd"/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 </w:t>
      </w:r>
      <w:proofErr w:type="spellStart"/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հյուսվածքաբա</w:t>
      </w:r>
      <w:bookmarkStart w:id="0" w:name="_GoBack"/>
      <w:bookmarkEnd w:id="0"/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նորեն</w:t>
      </w:r>
      <w:proofErr w:type="spellEnd"/>
      <w:r w:rsidR="00E062D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(A15)</w:t>
      </w:r>
      <w:r w:rsidR="00E0099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F76AC8" w:rsidRPr="00347AB9" w:rsidRDefault="00CB3048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F76AC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Երիկամների քրոնիկական հիվանդություններ կամ այլ հիվանդությունների </w:t>
      </w:r>
      <w:proofErr w:type="spellStart"/>
      <w:r w:rsidR="00F76AC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հետևանքով</w:t>
      </w:r>
      <w:proofErr w:type="spellEnd"/>
      <w:r w:rsidR="00F76AC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արտահայտված երիկամային ախտահարումներ` բարդացված խրոնիկ երիկամային անբավարարությամբ, տերմինալ փուլում, (N18):</w:t>
      </w:r>
    </w:p>
    <w:p w:rsidR="005605D0" w:rsidRPr="00347AB9" w:rsidRDefault="005605D0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8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r w:rsidR="00462F29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Ականջի </w:t>
      </w:r>
      <w:proofErr w:type="spellStart"/>
      <w:r w:rsidR="00462F29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հիվանդություններ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՝</w:t>
      </w:r>
      <w:r w:rsidR="00462F29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արտահայտվածությամբ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(H90)</w:t>
      </w:r>
      <w:r w:rsidR="007261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5605D0" w:rsidRPr="00347AB9" w:rsidRDefault="00346991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19</w:t>
      </w:r>
      <w:r w:rsidR="00CB3048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462F29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Տեսողական խանգարումներ</w:t>
      </w:r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` </w:t>
      </w:r>
      <w:proofErr w:type="spellStart"/>
      <w:r w:rsidR="00462F29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անարտահայտչականությամբ</w:t>
      </w:r>
      <w:proofErr w:type="spellEnd"/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(H54.0)</w:t>
      </w:r>
      <w:r w:rsidR="007261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5605D0" w:rsidRPr="00347AB9" w:rsidRDefault="00CB3048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0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Վեստիբուլյար (</w:t>
      </w:r>
      <w:proofErr w:type="spellStart"/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նախադռնային</w:t>
      </w:r>
      <w:proofErr w:type="spellEnd"/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) ֆունկցիայի խանգարում (H81)</w:t>
      </w:r>
      <w:r w:rsidR="007261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5605D0" w:rsidRPr="00347AB9" w:rsidRDefault="00CB3048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346991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r w:rsidR="005605D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Խոսքի զարգացման յուրահատուկ խանգարումներ (F80)</w:t>
      </w:r>
      <w:r w:rsidR="007261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5605D0" w:rsidRPr="00347AB9" w:rsidRDefault="005605D0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</w:p>
    <w:p w:rsidR="005E4405" w:rsidRPr="00347AB9" w:rsidRDefault="005E4405" w:rsidP="005E4405">
      <w:pPr>
        <w:spacing w:after="0" w:line="276" w:lineRule="auto"/>
        <w:jc w:val="right"/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br w:type="column"/>
      </w:r>
      <w:r w:rsidRPr="00347AB9"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  <w:lastRenderedPageBreak/>
        <w:t>Հավելված N 2</w:t>
      </w:r>
    </w:p>
    <w:p w:rsidR="005E4405" w:rsidRPr="00347AB9" w:rsidRDefault="005E4405" w:rsidP="005E4405">
      <w:pPr>
        <w:spacing w:after="0" w:line="276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ՀՀ</w:t>
      </w:r>
      <w:r w:rsidR="002B5AB1"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կառավարության</w:t>
      </w:r>
      <w:r w:rsidR="003D493D"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2019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թվականի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N 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ab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Ն</w:t>
      </w:r>
      <w:r w:rsidR="002B5AB1"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որոշման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br/>
        <w:t>___________________________________________________</w:t>
      </w:r>
      <w:r w:rsidR="006D5C72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</w:t>
      </w: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</w:t>
      </w:r>
    </w:p>
    <w:p w:rsidR="005E4405" w:rsidRPr="00347AB9" w:rsidRDefault="00EC0FA2" w:rsidP="005E4405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  <w:t>(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  <w:t>Արտահիվանդանոցային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  <w:t xml:space="preserve"> բժշկական օգնություն և սպասարկում իրականացնող</w:t>
      </w:r>
      <w:r w:rsidR="008E453A"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  <w:t xml:space="preserve"> կազմակերպության</w:t>
      </w:r>
      <w:r w:rsidR="005E4405"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shd w:val="clear" w:color="auto" w:fill="FFFFFF"/>
          <w:lang w:val="hy-AM"/>
        </w:rPr>
        <w:t xml:space="preserve"> անվանումը)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Calibri"/>
          <w:color w:val="000000" w:themeColor="text1"/>
          <w:sz w:val="21"/>
          <w:szCs w:val="21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  <w:lang w:val="hy-AM"/>
        </w:rPr>
        <w:t> 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 w:themeColor="text1"/>
          <w:sz w:val="21"/>
          <w:szCs w:val="21"/>
          <w:lang w:val="hy-AM"/>
        </w:rPr>
      </w:pP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/>
        </w:rPr>
        <w:t>Տ Ե Ղ Ե Կ Ա Ն Ք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  <w:lang w:val="hy-AM"/>
        </w:rPr>
        <w:t> 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/>
        </w:rPr>
        <w:t>ԴԱՏԱՎՈՐԻ</w:t>
      </w:r>
      <w:r w:rsidR="002B5AB1" w:rsidRPr="00347AB9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/>
        </w:rPr>
        <w:t xml:space="preserve"> 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ՊԱՇՏՈՆՈՒՄ</w:t>
      </w:r>
      <w:r w:rsidR="002B5AB1"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 xml:space="preserve"> 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ՆՇԱՆԱԿՄԱՆԸ</w:t>
      </w:r>
      <w:r w:rsidRPr="00347AB9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hy-AM"/>
        </w:rPr>
        <w:t> 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ԽՈՉԸՆԴՈՏՈՂ</w:t>
      </w:r>
      <w:r w:rsidR="002B5AB1"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 xml:space="preserve"> </w:t>
      </w:r>
      <w:r w:rsidR="0043134C"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 xml:space="preserve">ՖԻԶԻԿԱԿԱՆ ԱՐԱՏՆԵՐԻ ԵՎ 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ՀԻՎԱՆԴՈՒԹՅՈՒՆՆԵՐԻ</w:t>
      </w:r>
      <w:r w:rsidR="002B5AB1"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 xml:space="preserve"> 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ԲԱՑԱԿԱՅՈՒԹՅԱՆ</w:t>
      </w:r>
      <w:r w:rsidR="002B5AB1"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 xml:space="preserve"> </w:t>
      </w:r>
      <w:r w:rsidRPr="00347AB9">
        <w:rPr>
          <w:rFonts w:ascii="GHEA Grapalat" w:eastAsia="Times New Roman" w:hAnsi="GHEA Grapalat" w:cs="GHEA Grapalat"/>
          <w:b/>
          <w:bCs/>
          <w:color w:val="000000" w:themeColor="text1"/>
          <w:sz w:val="21"/>
          <w:szCs w:val="21"/>
          <w:lang w:val="hy-AM"/>
        </w:rPr>
        <w:t>ՄԱՍԻՆ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  <w:lang w:val="hy-AM"/>
        </w:rPr>
        <w:t> 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1. Տրվում է քաղաքացի _________________________________________________________________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left="2160" w:firstLine="72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15"/>
          <w:szCs w:val="15"/>
          <w:lang w:val="hy-AM"/>
        </w:rPr>
        <w:t>(անունը, ազգանունը, հայրանունը, ծննդյան ամիսը, ամսաթիվը, տարեթիվը)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2. Հաշվառման վայրը 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3. Բնակության վայրը 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4. Կատարված հետազոտությունները (թվարկել) և դրանց արդյունքները 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</w:t>
      </w: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___________________________________________________________</w:t>
      </w:r>
      <w:r w:rsidR="00987C56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  <w:lang w:val="hy-AM"/>
        </w:rPr>
        <w:t> 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5. Տվյալ պաշտոնում նշանակվելու պիտանիության վերաբերյալ բժշկական եզրակացությունը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___________________________________________________________</w:t>
      </w:r>
      <w:r w:rsidR="005F1C34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</w:t>
      </w:r>
      <w:r w:rsidR="005F1C34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___________________________________________________________</w:t>
      </w:r>
      <w:r w:rsidR="005F1C34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  <w:lang w:val="hy-AM"/>
        </w:rPr>
        <w:t>________________________</w:t>
      </w:r>
      <w:r w:rsidR="005F1C34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</w:rPr>
        <w:t> </w:t>
      </w:r>
    </w:p>
    <w:p w:rsidR="005E4405" w:rsidRPr="00347AB9" w:rsidRDefault="00071CF6" w:rsidP="005E4405">
      <w:pPr>
        <w:spacing w:after="0" w:line="240" w:lineRule="auto"/>
        <w:rPr>
          <w:rFonts w:ascii="GHEA Grapalat" w:eastAsia="Times New Roman" w:hAnsi="GHEA Grapalat" w:cs="Times New Roman"/>
          <w:vanish/>
          <w:color w:val="000000" w:themeColor="text1"/>
          <w:sz w:val="24"/>
          <w:szCs w:val="24"/>
        </w:rPr>
      </w:pP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Բժշկական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կազմակերպության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տնօրեն</w:t>
      </w:r>
      <w:proofErr w:type="spellEnd"/>
      <w:r w:rsidR="00C659CA" w:rsidRPr="00347AB9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`</w:t>
      </w: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347AB9">
        <w:rPr>
          <w:rFonts w:ascii="Calibri" w:eastAsia="Times New Roman" w:hAnsi="Calibri" w:cs="Calibri"/>
          <w:color w:val="000000" w:themeColor="text1"/>
          <w:sz w:val="21"/>
          <w:szCs w:val="21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5644"/>
      </w:tblGrid>
      <w:tr w:rsidR="00347AB9" w:rsidRPr="00347AB9" w:rsidTr="00A12BFE">
        <w:trPr>
          <w:tblCellSpacing w:w="7" w:type="dxa"/>
        </w:trPr>
        <w:tc>
          <w:tcPr>
            <w:tcW w:w="4230" w:type="dxa"/>
            <w:vAlign w:val="center"/>
            <w:hideMark/>
          </w:tcPr>
          <w:p w:rsidR="00071CF6" w:rsidRPr="00347AB9" w:rsidRDefault="00071CF6" w:rsidP="00071CF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</w:t>
            </w:r>
          </w:p>
          <w:p w:rsidR="00071CF6" w:rsidRPr="00347AB9" w:rsidRDefault="00071CF6" w:rsidP="00071CF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      (</w:t>
            </w:r>
            <w:proofErr w:type="spellStart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>ստորագրությունը</w:t>
            </w:r>
            <w:proofErr w:type="spellEnd"/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5850" w:type="dxa"/>
            <w:vAlign w:val="center"/>
            <w:hideMark/>
          </w:tcPr>
          <w:p w:rsidR="00071CF6" w:rsidRPr="00347AB9" w:rsidRDefault="00071CF6" w:rsidP="00071CF6">
            <w:pPr>
              <w:spacing w:after="0" w:line="240" w:lineRule="auto"/>
              <w:ind w:firstLine="15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</w:p>
          <w:p w:rsidR="00071CF6" w:rsidRPr="00347AB9" w:rsidRDefault="00071CF6" w:rsidP="00071CF6">
            <w:pPr>
              <w:spacing w:after="0" w:line="240" w:lineRule="auto"/>
              <w:ind w:left="12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       (</w:t>
            </w:r>
            <w:proofErr w:type="spellStart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>անունը</w:t>
            </w:r>
            <w:proofErr w:type="spellEnd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>ազգանունը</w:t>
            </w:r>
            <w:proofErr w:type="spellEnd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347AB9">
              <w:rPr>
                <w:rFonts w:ascii="Sylfaen" w:eastAsia="Times New Roman" w:hAnsi="Sylfaen" w:cs="Sylfaen"/>
                <w:color w:val="000000" w:themeColor="text1"/>
                <w:sz w:val="15"/>
                <w:szCs w:val="15"/>
                <w:lang w:eastAsia="ru-RU"/>
              </w:rPr>
              <w:t>հայրանունը</w:t>
            </w:r>
            <w:proofErr w:type="spellEnd"/>
            <w:r w:rsidRPr="00347AB9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)</w:t>
            </w:r>
          </w:p>
        </w:tc>
      </w:tr>
    </w:tbl>
    <w:p w:rsidR="00071CF6" w:rsidRPr="00347AB9" w:rsidRDefault="00071CF6" w:rsidP="005E4405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:rsidR="00071CF6" w:rsidRPr="00347AB9" w:rsidRDefault="00071CF6" w:rsidP="005E4405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:rsidR="00071CF6" w:rsidRPr="00347AB9" w:rsidRDefault="00071CF6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</w:p>
    <w:p w:rsidR="005E4405" w:rsidRPr="00347AB9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</w:p>
    <w:p w:rsidR="00071CF6" w:rsidRPr="00347AB9" w:rsidRDefault="00071CF6" w:rsidP="00071CF6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0"/>
          <w:szCs w:val="20"/>
          <w:lang w:eastAsia="ru-RU"/>
        </w:rPr>
      </w:pPr>
      <w:r w:rsidRPr="00347A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 </w:t>
      </w:r>
      <w:r w:rsidRPr="00347AB9">
        <w:rPr>
          <w:rFonts w:ascii="GHEA Grapalat" w:eastAsia="Times New Roman" w:hAnsi="GHEA Grapalat" w:cs="Times New Roman"/>
          <w:color w:val="000000" w:themeColor="text1"/>
          <w:sz w:val="20"/>
          <w:szCs w:val="20"/>
          <w:lang w:eastAsia="ru-RU"/>
        </w:rPr>
        <w:t xml:space="preserve">_______________ 20 </w:t>
      </w:r>
      <w:r w:rsidRPr="00347AB9">
        <w:rPr>
          <w:rFonts w:ascii="GHEA Grapalat" w:eastAsia="Times New Roman" w:hAnsi="GHEA Grapalat" w:cs="Sylfaen"/>
          <w:color w:val="000000" w:themeColor="text1"/>
          <w:sz w:val="20"/>
          <w:szCs w:val="20"/>
          <w:lang w:eastAsia="ru-RU"/>
        </w:rPr>
        <w:t>թ</w:t>
      </w:r>
      <w:r w:rsidRPr="00347AB9">
        <w:rPr>
          <w:rFonts w:ascii="GHEA Grapalat" w:eastAsia="Times New Roman" w:hAnsi="GHEA Grapalat" w:cs="Times New Roman"/>
          <w:color w:val="000000" w:themeColor="text1"/>
          <w:sz w:val="20"/>
          <w:szCs w:val="20"/>
          <w:lang w:eastAsia="ru-RU"/>
        </w:rPr>
        <w:t xml:space="preserve">. </w:t>
      </w:r>
    </w:p>
    <w:p w:rsidR="00AA5E6D" w:rsidRPr="00347AB9" w:rsidRDefault="00AA5E6D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 w:themeColor="text1"/>
          <w:sz w:val="20"/>
          <w:szCs w:val="20"/>
          <w:lang w:val="hy-AM" w:eastAsia="ru-RU"/>
        </w:rPr>
      </w:pPr>
    </w:p>
    <w:p w:rsidR="0015306E" w:rsidRPr="00347AB9" w:rsidRDefault="0015306E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 w:themeColor="text1"/>
          <w:sz w:val="24"/>
          <w:szCs w:val="24"/>
          <w:lang w:val="hy-AM" w:eastAsia="ru-RU"/>
        </w:rPr>
      </w:pPr>
    </w:p>
    <w:p w:rsidR="0015306E" w:rsidRPr="00347AB9" w:rsidRDefault="0015306E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 w:themeColor="text1"/>
          <w:sz w:val="24"/>
          <w:szCs w:val="24"/>
          <w:lang w:val="hy-AM" w:eastAsia="ru-RU"/>
        </w:rPr>
      </w:pPr>
    </w:p>
    <w:p w:rsidR="0015306E" w:rsidRPr="00347AB9" w:rsidRDefault="0015306E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 w:themeColor="text1"/>
          <w:sz w:val="24"/>
          <w:szCs w:val="24"/>
          <w:lang w:val="hy-AM" w:eastAsia="ru-RU"/>
        </w:rPr>
      </w:pPr>
    </w:p>
    <w:p w:rsidR="0015306E" w:rsidRPr="00347AB9" w:rsidRDefault="0015306E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 w:themeColor="text1"/>
          <w:sz w:val="24"/>
          <w:szCs w:val="24"/>
          <w:lang w:val="hy-AM" w:eastAsia="ru-RU"/>
        </w:rPr>
      </w:pPr>
    </w:p>
    <w:p w:rsidR="0015306E" w:rsidRPr="00347AB9" w:rsidRDefault="0015306E" w:rsidP="00AA5E6D">
      <w:pPr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15306E" w:rsidRPr="00347AB9" w:rsidRDefault="0015306E" w:rsidP="0015306E">
      <w:pPr>
        <w:spacing w:after="0" w:line="276" w:lineRule="auto"/>
        <w:jc w:val="right"/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eastAsia="Times New Roman" w:hAnsi="GHEA Grapalat" w:cs="Calibri"/>
          <w:b/>
          <w:color w:val="000000" w:themeColor="text1"/>
          <w:sz w:val="20"/>
          <w:szCs w:val="20"/>
          <w:lang w:val="hy-AM"/>
        </w:rPr>
        <w:t>Հավելված N 3</w:t>
      </w:r>
    </w:p>
    <w:p w:rsidR="0015306E" w:rsidRPr="00347AB9" w:rsidRDefault="0015306E" w:rsidP="0015306E">
      <w:pPr>
        <w:spacing w:after="0" w:line="276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ՀՀ կառավարության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2019 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թվականի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br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ի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 xml:space="preserve"> N </w:t>
      </w:r>
      <w:r w:rsidRPr="00347AB9"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  <w:tab/>
        <w:t>-</w:t>
      </w:r>
      <w:r w:rsidRPr="00347AB9">
        <w:rPr>
          <w:rFonts w:ascii="GHEA Grapalat" w:eastAsia="Times New Roman" w:hAnsi="GHEA Grapalat" w:cs="Sylfaen"/>
          <w:b/>
          <w:bCs/>
          <w:color w:val="000000" w:themeColor="text1"/>
          <w:sz w:val="20"/>
          <w:szCs w:val="20"/>
          <w:lang w:val="hy-AM"/>
        </w:rPr>
        <w:t>Ն որոշման</w:t>
      </w:r>
    </w:p>
    <w:p w:rsidR="0015306E" w:rsidRPr="00347AB9" w:rsidRDefault="0015306E" w:rsidP="0015306E">
      <w:pPr>
        <w:spacing w:after="0" w:line="240" w:lineRule="auto"/>
        <w:ind w:firstLine="375"/>
        <w:jc w:val="right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15306E" w:rsidRPr="00347AB9" w:rsidRDefault="0015306E" w:rsidP="00AA5E6D">
      <w:pPr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15306E" w:rsidRPr="00347AB9" w:rsidRDefault="0015306E" w:rsidP="00AA5E6D">
      <w:pPr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AA5E6D" w:rsidRPr="00347AB9" w:rsidRDefault="00AA5E6D" w:rsidP="00AA5E6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ԿԱՐԳ</w:t>
      </w:r>
    </w:p>
    <w:p w:rsidR="00AA5E6D" w:rsidRPr="00347AB9" w:rsidRDefault="00AA5E6D" w:rsidP="00AA5E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p w:rsidR="00AA5E6D" w:rsidRPr="00347AB9" w:rsidRDefault="00AA5E6D" w:rsidP="00AA5E6D">
      <w:pPr>
        <w:spacing w:after="200" w:line="36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ԴԱՏԱՎՈՐԻ </w:t>
      </w:r>
      <w:r w:rsidR="00EC0FA2"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ՊԱՇՏՈՆՈՒ</w:t>
      </w: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Մ ՆՇԱՆԱԿՄԱՆԸ ԽՈՉԸՆԴՈՏՈՂ ՖԻԶԻԿԱԿԱՆ ԱՐԱՏՆԵՐԻ ԵՎ </w:t>
      </w:r>
      <w:proofErr w:type="spellStart"/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ՀԻՎԱՆԴՈւԹՅՈ</w:t>
      </w:r>
      <w:r w:rsidR="00EC0FA2"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Ւ</w:t>
      </w: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ՆՆԵՐԻ</w:t>
      </w:r>
      <w:proofErr w:type="spellEnd"/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C0FA2"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ԲԱՑԱԿԱՅՈՒ</w:t>
      </w: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ԹՅԱՆ ՄԱՍԻՆ ՏԵՂԵԿԱՆՔ ՏՐԱՄԱԴՐԵԼՈ</w:t>
      </w:r>
      <w:r w:rsidR="00EC0FA2"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Ւ</w:t>
      </w:r>
      <w:r w:rsidRPr="00347AB9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402D75" w:rsidRPr="00347AB9" w:rsidRDefault="00402D75" w:rsidP="00402D75">
      <w:pPr>
        <w:spacing w:after="200" w:line="360" w:lineRule="auto"/>
        <w:jc w:val="center"/>
        <w:rPr>
          <w:rFonts w:ascii="Sylfaen" w:hAnsi="Sylfaen" w:cs="Sylfaen"/>
          <w:color w:val="000000" w:themeColor="text1"/>
          <w:lang w:val="hy-AM"/>
        </w:rPr>
      </w:pPr>
    </w:p>
    <w:p w:rsidR="00AA5E6D" w:rsidRPr="00347AB9" w:rsidRDefault="00AA5E6D" w:rsidP="00402D75">
      <w:pPr>
        <w:spacing w:after="20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1.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B07B6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Դատավորի թեկնածուների հավակնորդների ցուցակում ընդգրկվել հավակնող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անձի </w:t>
      </w:r>
      <w:r w:rsidR="00B07B6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(Այսուհետ` Հավակնորդ) </w:t>
      </w:r>
      <w:r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դատավորի պաշտոնում նշանակմանը խոչընդոտող ֆիզիկական արատների և հիվանդությունների </w:t>
      </w:r>
      <w:r w:rsidR="000116C0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բացակայության </w:t>
      </w:r>
      <w:r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մասին տեղեկանքի </w:t>
      </w:r>
      <w:r w:rsidR="00484D9E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(</w:t>
      </w:r>
      <w:r w:rsidR="009B744F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Այսուհետ` Տեղեկանք</w:t>
      </w:r>
      <w:r w:rsidR="00484D9E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)</w:t>
      </w:r>
      <w:r w:rsidR="009B744F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տրամադրումն իրականացնում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են`</w:t>
      </w:r>
    </w:p>
    <w:p w:rsidR="00AA5E6D" w:rsidRPr="00347AB9" w:rsidRDefault="00AA5E6D" w:rsidP="00AA5E6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1) Քաղաքային բնակչության համար` այն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</w:t>
      </w:r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օգնություն և սպասարկում իրականացնող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կազմակերպությունները</w:t>
      </w:r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(այսուհետ` </w:t>
      </w:r>
      <w:proofErr w:type="spellStart"/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կազմակերպություն)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որտեղ Հայաստանի Հանրապետության կառավարության 2006 թվականի մարտի 30-ի N 420-Ն որոշմամբ սահմանված կարգով գրանցված է </w:t>
      </w:r>
      <w:r w:rsidR="000D05D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ը:</w:t>
      </w:r>
    </w:p>
    <w:p w:rsidR="00AA5E6D" w:rsidRPr="00347AB9" w:rsidRDefault="00AA5E6D" w:rsidP="0067227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2) Գյուղական բնակչության համար` այն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կազմակերպությունները, որտեղ Հայաստանի Հանրապետության առողջապահության նախարարի 2013 թվականի սեպտեմբերի 13-ի N 47-Ն հրամանով հաստատված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չափորոշչով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սահմանված կարգով իրականացվում են տվյալ տարածաշրջանի </w:t>
      </w:r>
      <w:r w:rsidR="003D493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գյուղական բնակավայրերի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բնակչության նեղ մասնագիտական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խորհրդատվությունները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 լաբորատոր-գործիքային ախտորոշիչ հետազոտությունները:</w:t>
      </w:r>
    </w:p>
    <w:p w:rsidR="00AA5E6D" w:rsidRPr="00347AB9" w:rsidRDefault="00A97D18" w:rsidP="00A97D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Այն դեպքում, երբ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կազմակերպությունը չի իրականացնում հոգեբուժական և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թմրաբանական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օգնություն և սպասարկում, </w:t>
      </w:r>
      <w:r w:rsidR="009C074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ը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կազմակերպություն է ներկայացնում տվյալ տարածքը սպասարկող հոգեբուժական և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թմրաբանական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օգնություն և սպասարկում իրականացնող </w:t>
      </w:r>
      <w:r w:rsidR="00E017E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կազմակերպությունների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կողմից տրված բժշկական փաստաթղթ</w:t>
      </w:r>
      <w:r w:rsidR="00E017E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երը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: </w:t>
      </w:r>
    </w:p>
    <w:p w:rsidR="00AA5E6D" w:rsidRPr="00347AB9" w:rsidRDefault="00A97D18" w:rsidP="00A97D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3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r w:rsidR="00B07B6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ը </w:t>
      </w:r>
      <w:proofErr w:type="spellStart"/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կազմակերպությունում բժշկական ստուգում անցնելու համար ներկայացնում է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անձը հաստատող փաստաթուղթ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իսկ սույն կարգի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-րդ կետով սահմանված դեպքում` նաև հոգեբուժական և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թմրաբանական</w:t>
      </w:r>
      <w:proofErr w:type="spellEnd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բժշկական օգնություն և սպասարկում իրականացնող </w:t>
      </w:r>
      <w:r w:rsidR="00E017E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կազմակերպությ</w:t>
      </w:r>
      <w:r w:rsidR="001E237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ան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կողմից տրված բժշկական փաստաթ</w:t>
      </w:r>
      <w:r w:rsidR="001E237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ուղ</w:t>
      </w:r>
      <w:r w:rsidR="00E017E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</w:t>
      </w:r>
      <w:r w:rsidR="001E2370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AA5E6D" w:rsidRPr="00347AB9" w:rsidRDefault="00A97D18" w:rsidP="00AA5E6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4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B07B6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ի</w:t>
      </w:r>
      <w:r w:rsidR="00B07B6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B744F" w:rsidRPr="00347AB9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Տ</w:t>
      </w:r>
      <w:r w:rsidR="00AA5E6D" w:rsidRPr="00347AB9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 xml:space="preserve">եղեկանքի տրամադրման նպատակով 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6716B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և հ</w:t>
      </w:r>
      <w:r w:rsidR="0096716B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ոգեբուժական </w:t>
      </w:r>
      <w:r w:rsidR="00B90222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բժշկական օգնություն և սպասարկում իրականացնող կազմակերպությ</w:t>
      </w:r>
      <w:r w:rsidR="00216A4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ան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տնօրենի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հրամանով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ստեղծվում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է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մշտապես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գործող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հանձնաժողով:</w:t>
      </w:r>
    </w:p>
    <w:p w:rsidR="00AA5E6D" w:rsidRPr="00347AB9" w:rsidRDefault="00A97D18" w:rsidP="00AA5E6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5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proofErr w:type="spellStart"/>
      <w:r w:rsidR="0096716B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96716B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կազմակերպության </w:t>
      </w:r>
      <w:r w:rsidR="008E453A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մշտապես</w:t>
      </w:r>
      <w:r w:rsidR="008E453A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E453A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գործող</w:t>
      </w:r>
      <w:r w:rsidR="008E453A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6716B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ժշկական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հանձնաժողովի</w:t>
      </w:r>
      <w:r w:rsidR="009C0744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(Այսուհետ` բժշկական</w:t>
      </w:r>
      <w:r w:rsidR="009C0744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C0744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հանձնաժողով)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կազմում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ընդգրկվում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proofErr w:type="spellStart"/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թերապևտը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ընտանեկան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բժիշկը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նյարդաբանը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սրտաբանը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 քիթ-կո</w:t>
      </w:r>
      <w:r w:rsidR="00462F29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կո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րդ-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ականջաբանը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ակնաբույժը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ուռուցքաբանը</w:t>
      </w:r>
      <w:proofErr w:type="spellEnd"/>
      <w:r w:rsidR="00CD739B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CD739B" w:rsidRPr="00347AB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(առկայության դեպքում)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proofErr w:type="spellStart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ներզատաբանը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AA5E6D" w:rsidRPr="00347AB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հոգեբույժը (առկայության դեպքում):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Առանձին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դեպքերում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ելնելով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կոնկրետ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հիվանդությունից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վիճակից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հանձնաժողովը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proofErr w:type="spellStart"/>
      <w:r w:rsidR="001F1C65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կազմակերպության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տնօրենի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հրամանով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կարող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է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ամալրվել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նաև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տվյալ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կազմակերպության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այլ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բժիշկ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մասնագետներով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AA5E6D" w:rsidRPr="00347AB9" w:rsidRDefault="008036FA" w:rsidP="00A97D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Հոգեբուժական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բժշկական </w:t>
      </w:r>
      <w:r w:rsidR="0016460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օգնություն և սպասարկում իրականացնող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կազմակերպության </w:t>
      </w:r>
      <w:r w:rsidR="00D8360C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տնօրենը</w:t>
      </w:r>
      <w:r w:rsidR="00D8360C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 </w:t>
      </w:r>
      <w:r w:rsidR="009D7FF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սույն կարգի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9D7FF3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-րդ կետով սահմանված բժշկական փաստաթուղթը </w:t>
      </w:r>
      <w:r w:rsidR="00216A4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Հավակնորդին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D8360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է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տր</w:t>
      </w:r>
      <w:r w:rsidR="00D8360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ամադրում </w:t>
      </w:r>
      <w:r w:rsidR="009D7FF3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դիմելու օրվանից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2 </w:t>
      </w:r>
      <w:r w:rsidR="00E351B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աշխատանքային</w:t>
      </w:r>
      <w:r w:rsidR="00E351B5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D8360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օրվա ընթացքում: Այն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դեպքում, երբ </w:t>
      </w:r>
      <w:proofErr w:type="spellStart"/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արտահիվանդանոցային</w:t>
      </w:r>
      <w:proofErr w:type="spellEnd"/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պայմաններում </w:t>
      </w:r>
      <w:r w:rsidR="0011079A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հնարավոր չէ գալ եզրահանգման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հոգեկան </w:t>
      </w:r>
      <w:r w:rsidR="00AE224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հիվանդությունների առկայության կամ բացակայության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վերաբերյալ</w:t>
      </w:r>
      <w:r w:rsidR="00AE224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, ապա իրականացվում է հետազոտում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AE224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«ցերեկային ստացիոնար» կամ «ստացիոնար» պայմաններում: Հետազոտության արդյունքների հիման վրա </w:t>
      </w:r>
      <w:r w:rsidR="00AE224C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Հոգեբուժական </w:t>
      </w:r>
      <w:r w:rsidR="00AE224C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բժշկական օգնություն և սպասարկում իրականացնող կազմակերպության </w:t>
      </w:r>
      <w:r w:rsidR="00AE224C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տնօրենը</w:t>
      </w:r>
      <w:r w:rsidR="00AE224C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 սույն կարգի 2-րդ կետով սահմանված բժշկական փաստաթուղթը Հավակնորդին</w:t>
      </w:r>
      <w:r w:rsidR="00AE224C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է տրամադրում  դիմելու օրվանից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10 </w:t>
      </w:r>
      <w:r w:rsidR="00E351B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աշխատանքային</w:t>
      </w:r>
      <w:r w:rsidR="00E351B5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օրվա ընթացքում: </w:t>
      </w:r>
    </w:p>
    <w:p w:rsidR="00AA5E6D" w:rsidRPr="00347AB9" w:rsidRDefault="008036FA" w:rsidP="00A97D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7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proofErr w:type="spellStart"/>
      <w:r w:rsidR="001F1C6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Թմրաբանական</w:t>
      </w:r>
      <w:proofErr w:type="spellEnd"/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օգնություն և սպասարկում իրականացնող </w:t>
      </w:r>
      <w:r w:rsidR="00484D9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կազմակերպության </w:t>
      </w:r>
      <w:r w:rsidR="00484D9E"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տնօրենը</w:t>
      </w:r>
      <w:r w:rsidR="00484D9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սույն կարգի 2-րդ կետով սահմանված բժշկական փաստաթուղթը Հավակնորդին</w:t>
      </w:r>
      <w:r w:rsidR="00484D9E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է տրամադրում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  <w:t xml:space="preserve">ոչ հանձնաժողովային կարգով, համապատասխան հետազոտությունների արդյունքների հիման վրա` </w:t>
      </w:r>
      <w:r w:rsidR="009D7FF3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դիմելու օրվանից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  <w:t xml:space="preserve">5 </w:t>
      </w:r>
      <w:r w:rsidR="00E351B5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աշխատանքային</w:t>
      </w:r>
      <w:r w:rsidR="00E351B5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AA5E6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  <w:t xml:space="preserve">օրվա ընթացքում: </w:t>
      </w:r>
    </w:p>
    <w:p w:rsidR="008036FA" w:rsidRPr="00347AB9" w:rsidRDefault="008036FA" w:rsidP="008036FA">
      <w:pPr>
        <w:spacing w:after="0" w:line="360" w:lineRule="auto"/>
        <w:jc w:val="both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8.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րտահիվանդանոցային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կազմակերպության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տնօրենը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սույն կարգի 3-րդ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կետում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նշված փաստաթղթերը ներկայացնելուց հետո 5 աշխատանքային օրվա ընթացքում</w:t>
      </w:r>
      <w:r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Հավակնորդին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է տրամադրում </w:t>
      </w:r>
      <w:r w:rsidR="009B744F" w:rsidRPr="00347AB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Տ</w:t>
      </w:r>
      <w:r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եղեկանքը` հիմք ընդունելով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ժշկական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347A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հանձնաժողովի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կողմից </w:t>
      </w:r>
      <w:r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տրված</w:t>
      </w: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եզրակացությունը, իսկ սույն կարգի 2-րդ կետով սահմանված դեպքում  նաև հոգեբուժական և </w:t>
      </w:r>
      <w:proofErr w:type="spellStart"/>
      <w:r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թմրաբանական</w:t>
      </w:r>
      <w:proofErr w:type="spellEnd"/>
      <w:r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բժշկական օգնություն և սպասարկում իրականացնող կազմակերպությ</w:t>
      </w:r>
      <w:r w:rsidR="009B744F"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</w:t>
      </w:r>
      <w:r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 տրված բժշկական փաստաթ</w:t>
      </w:r>
      <w:r w:rsidR="009B744F" w:rsidRPr="00347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ուղթը</w:t>
      </w:r>
      <w:r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:</w:t>
      </w:r>
    </w:p>
    <w:p w:rsidR="00AA5E6D" w:rsidRPr="00347AB9" w:rsidRDefault="00A97D18" w:rsidP="00A97D1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9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Բժշկական ստուգման արդյունքում </w:t>
      </w:r>
      <w:r w:rsidR="00E017E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Բժշկական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հանձնաժողովի կողմից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տրված եզրակացության </w:t>
      </w:r>
      <w:r w:rsidR="00AA5E6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վերաբերյալ տվյալները գրանցվում են ամբուլատոր բժշկական քարտում և վավերացվում հանձնաժողովի անդամների ստորագրություններով:</w:t>
      </w:r>
    </w:p>
    <w:p w:rsidR="00FE078D" w:rsidRPr="00347AB9" w:rsidRDefault="00B06F1A" w:rsidP="0072795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</w:pPr>
      <w:r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484D9E" w:rsidRPr="00347AB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B744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Տ</w:t>
      </w:r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եղեկանքը</w:t>
      </w:r>
      <w:r w:rsidR="00FE078D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վավեր է </w:t>
      </w:r>
      <w:r w:rsidR="00FE078D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տալու պահից մեկ ամիս</w:t>
      </w:r>
      <w:r w:rsidR="001E2370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ժամկետով:</w:t>
      </w:r>
    </w:p>
    <w:p w:rsidR="00727956" w:rsidRPr="00347AB9" w:rsidRDefault="00FE078D" w:rsidP="0072795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1</w:t>
      </w:r>
      <w:r w:rsidR="00B06F1A"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1</w:t>
      </w:r>
      <w:r w:rsidRPr="00347AB9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.</w:t>
      </w:r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B744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Տ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եղեկանքը </w:t>
      </w:r>
      <w:r w:rsidR="0072795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կորցնելու կամ օգտագործման համար ոչ պիտանի դառնալու դեպքում </w:t>
      </w:r>
      <w:r w:rsidR="00216A4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Հավակնորդը</w:t>
      </w:r>
      <w:r w:rsidR="0072795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դիմում է </w:t>
      </w:r>
      <w:proofErr w:type="spellStart"/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կազմակերպություն</w:t>
      </w:r>
      <w:r w:rsidR="0072795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` </w:t>
      </w:r>
      <w:r w:rsidR="009B744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Տ</w:t>
      </w:r>
      <w:r w:rsidR="0015306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եղեկանքի կ</w:t>
      </w:r>
      <w:r w:rsidR="0072795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րկնօրինակ</w:t>
      </w:r>
      <w:r w:rsidR="0015306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</w:t>
      </w:r>
      <w:r w:rsidR="00727956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ստանալու համար:</w:t>
      </w:r>
    </w:p>
    <w:p w:rsidR="006732C8" w:rsidRPr="00347AB9" w:rsidRDefault="00727956" w:rsidP="0072795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</w:t>
      </w:r>
      <w:r w:rsidR="00B06F1A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r w:rsidR="009B744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Տ</w:t>
      </w:r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եղեկանքի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կրկնօրինակը </w:t>
      </w:r>
      <w:r w:rsidR="00216A4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Հավակնորդին </w:t>
      </w:r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տրամադրվում է սկզբնական փաստաթղթում ամրագրված ժամկետով, դիմելուց հետո </w:t>
      </w:r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3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աշխատանքային օրվա ընթացքում, </w:t>
      </w:r>
      <w:r w:rsidR="009B744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Տ</w:t>
      </w:r>
      <w:r w:rsidR="0015306E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եղեկանքի 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կրկնօրինակի </w:t>
      </w:r>
      <w:proofErr w:type="spellStart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վերևի</w:t>
      </w:r>
      <w:proofErr w:type="spellEnd"/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աջ անկյունում նշելով «Կրկնօրինակ» բառը, որի վրա դրվում է </w:t>
      </w:r>
      <w:proofErr w:type="spellStart"/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արտահիվանդանոցային</w:t>
      </w:r>
      <w:proofErr w:type="spellEnd"/>
      <w:r w:rsidR="000342D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բժշկական կազմակերպության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կնիքը</w:t>
      </w:r>
      <w:r w:rsidR="0018629F"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(առկայության դեպքում)</w:t>
      </w:r>
      <w:r w:rsidRPr="00347A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sectPr w:rsidR="006732C8" w:rsidRPr="00347AB9" w:rsidSect="00F24BEA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E24"/>
    <w:multiLevelType w:val="hybridMultilevel"/>
    <w:tmpl w:val="AFF85F98"/>
    <w:lvl w:ilvl="0" w:tplc="CA9696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F717B0A"/>
    <w:multiLevelType w:val="hybridMultilevel"/>
    <w:tmpl w:val="52A85BF4"/>
    <w:lvl w:ilvl="0" w:tplc="8D08DA10">
      <w:start w:val="1"/>
      <w:numFmt w:val="decimal"/>
      <w:lvlText w:val="%1."/>
      <w:lvlJc w:val="left"/>
      <w:pPr>
        <w:ind w:left="4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B380C53"/>
    <w:multiLevelType w:val="hybridMultilevel"/>
    <w:tmpl w:val="30CA2E26"/>
    <w:lvl w:ilvl="0" w:tplc="CA9696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4EB65A20"/>
    <w:multiLevelType w:val="hybridMultilevel"/>
    <w:tmpl w:val="837A4D00"/>
    <w:lvl w:ilvl="0" w:tplc="10284D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E1444E2"/>
    <w:multiLevelType w:val="hybridMultilevel"/>
    <w:tmpl w:val="9D5AF2C8"/>
    <w:lvl w:ilvl="0" w:tplc="6D860ACC">
      <w:start w:val="4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E"/>
    <w:rsid w:val="000001B7"/>
    <w:rsid w:val="000021C2"/>
    <w:rsid w:val="0000472C"/>
    <w:rsid w:val="00006FD3"/>
    <w:rsid w:val="000116C0"/>
    <w:rsid w:val="000165CD"/>
    <w:rsid w:val="000232B0"/>
    <w:rsid w:val="000342DF"/>
    <w:rsid w:val="000350EE"/>
    <w:rsid w:val="00045FA6"/>
    <w:rsid w:val="00051870"/>
    <w:rsid w:val="000627F0"/>
    <w:rsid w:val="00071CF6"/>
    <w:rsid w:val="00072D2E"/>
    <w:rsid w:val="00082A96"/>
    <w:rsid w:val="000A57B3"/>
    <w:rsid w:val="000C07EC"/>
    <w:rsid w:val="000D05DE"/>
    <w:rsid w:val="0011079A"/>
    <w:rsid w:val="00122FDC"/>
    <w:rsid w:val="0015306E"/>
    <w:rsid w:val="001632EF"/>
    <w:rsid w:val="0016460F"/>
    <w:rsid w:val="0018629F"/>
    <w:rsid w:val="001A4E1A"/>
    <w:rsid w:val="001B6262"/>
    <w:rsid w:val="001C42C9"/>
    <w:rsid w:val="001D69E4"/>
    <w:rsid w:val="001E2370"/>
    <w:rsid w:val="001E52B9"/>
    <w:rsid w:val="001E60A8"/>
    <w:rsid w:val="001F1C65"/>
    <w:rsid w:val="00216A4E"/>
    <w:rsid w:val="002221CC"/>
    <w:rsid w:val="00223568"/>
    <w:rsid w:val="00235094"/>
    <w:rsid w:val="0027680F"/>
    <w:rsid w:val="00290A64"/>
    <w:rsid w:val="002B5AB1"/>
    <w:rsid w:val="002C02D9"/>
    <w:rsid w:val="002D0815"/>
    <w:rsid w:val="003212D8"/>
    <w:rsid w:val="00346991"/>
    <w:rsid w:val="00347AB9"/>
    <w:rsid w:val="00353589"/>
    <w:rsid w:val="003C151E"/>
    <w:rsid w:val="003C1B92"/>
    <w:rsid w:val="003D493D"/>
    <w:rsid w:val="00402D75"/>
    <w:rsid w:val="004117D1"/>
    <w:rsid w:val="00412C0E"/>
    <w:rsid w:val="004261C1"/>
    <w:rsid w:val="00430E0B"/>
    <w:rsid w:val="0043134C"/>
    <w:rsid w:val="0046128B"/>
    <w:rsid w:val="00462F29"/>
    <w:rsid w:val="00477056"/>
    <w:rsid w:val="00484D9E"/>
    <w:rsid w:val="004950A9"/>
    <w:rsid w:val="004F74A1"/>
    <w:rsid w:val="005251F7"/>
    <w:rsid w:val="00540383"/>
    <w:rsid w:val="005605D0"/>
    <w:rsid w:val="005E4405"/>
    <w:rsid w:val="005F1C34"/>
    <w:rsid w:val="005F6094"/>
    <w:rsid w:val="00607220"/>
    <w:rsid w:val="00631888"/>
    <w:rsid w:val="0065722D"/>
    <w:rsid w:val="00663BB6"/>
    <w:rsid w:val="00670E45"/>
    <w:rsid w:val="0067227F"/>
    <w:rsid w:val="006732C8"/>
    <w:rsid w:val="006751F9"/>
    <w:rsid w:val="00683A22"/>
    <w:rsid w:val="006C67BF"/>
    <w:rsid w:val="006D5C72"/>
    <w:rsid w:val="00726122"/>
    <w:rsid w:val="00727956"/>
    <w:rsid w:val="00752246"/>
    <w:rsid w:val="007A7A38"/>
    <w:rsid w:val="007B78EC"/>
    <w:rsid w:val="007E2FD6"/>
    <w:rsid w:val="007F0BB5"/>
    <w:rsid w:val="008036FA"/>
    <w:rsid w:val="008241E7"/>
    <w:rsid w:val="0086656D"/>
    <w:rsid w:val="008975C3"/>
    <w:rsid w:val="008A782D"/>
    <w:rsid w:val="008D55B4"/>
    <w:rsid w:val="008E453A"/>
    <w:rsid w:val="00965327"/>
    <w:rsid w:val="0096716B"/>
    <w:rsid w:val="009701E4"/>
    <w:rsid w:val="0097646A"/>
    <w:rsid w:val="009853AD"/>
    <w:rsid w:val="00987C56"/>
    <w:rsid w:val="0099468E"/>
    <w:rsid w:val="009A7B03"/>
    <w:rsid w:val="009B744F"/>
    <w:rsid w:val="009C0744"/>
    <w:rsid w:val="009C72C9"/>
    <w:rsid w:val="009D7FF3"/>
    <w:rsid w:val="009F383F"/>
    <w:rsid w:val="009F57B1"/>
    <w:rsid w:val="009F79B3"/>
    <w:rsid w:val="00A244C8"/>
    <w:rsid w:val="00A37C1B"/>
    <w:rsid w:val="00A97D18"/>
    <w:rsid w:val="00AA4D3E"/>
    <w:rsid w:val="00AA5E6D"/>
    <w:rsid w:val="00AE224C"/>
    <w:rsid w:val="00B06F1A"/>
    <w:rsid w:val="00B07B6F"/>
    <w:rsid w:val="00B07EE4"/>
    <w:rsid w:val="00B3698E"/>
    <w:rsid w:val="00B424B9"/>
    <w:rsid w:val="00B56BF5"/>
    <w:rsid w:val="00B57BD7"/>
    <w:rsid w:val="00B673E8"/>
    <w:rsid w:val="00B8103E"/>
    <w:rsid w:val="00B817DE"/>
    <w:rsid w:val="00B90222"/>
    <w:rsid w:val="00BC142E"/>
    <w:rsid w:val="00BE0C45"/>
    <w:rsid w:val="00BF05E4"/>
    <w:rsid w:val="00C078A8"/>
    <w:rsid w:val="00C1063C"/>
    <w:rsid w:val="00C54E69"/>
    <w:rsid w:val="00C659CA"/>
    <w:rsid w:val="00C675DA"/>
    <w:rsid w:val="00C90CA3"/>
    <w:rsid w:val="00C94D04"/>
    <w:rsid w:val="00C9549C"/>
    <w:rsid w:val="00CB3048"/>
    <w:rsid w:val="00CB4232"/>
    <w:rsid w:val="00CB5088"/>
    <w:rsid w:val="00CD739B"/>
    <w:rsid w:val="00CE4CBB"/>
    <w:rsid w:val="00D30F21"/>
    <w:rsid w:val="00D57905"/>
    <w:rsid w:val="00D77415"/>
    <w:rsid w:val="00D8360C"/>
    <w:rsid w:val="00DA1579"/>
    <w:rsid w:val="00DA4194"/>
    <w:rsid w:val="00DD68D6"/>
    <w:rsid w:val="00DE6F5E"/>
    <w:rsid w:val="00E00990"/>
    <w:rsid w:val="00E017EE"/>
    <w:rsid w:val="00E062D4"/>
    <w:rsid w:val="00E20D10"/>
    <w:rsid w:val="00E351B5"/>
    <w:rsid w:val="00E36601"/>
    <w:rsid w:val="00E458A0"/>
    <w:rsid w:val="00E51215"/>
    <w:rsid w:val="00E51B6A"/>
    <w:rsid w:val="00E71BB6"/>
    <w:rsid w:val="00E72FD0"/>
    <w:rsid w:val="00E82BBB"/>
    <w:rsid w:val="00EA0247"/>
    <w:rsid w:val="00EB48E7"/>
    <w:rsid w:val="00EC0FA2"/>
    <w:rsid w:val="00EE1B31"/>
    <w:rsid w:val="00F210AF"/>
    <w:rsid w:val="00F24BEA"/>
    <w:rsid w:val="00F321B6"/>
    <w:rsid w:val="00F533CB"/>
    <w:rsid w:val="00F66F30"/>
    <w:rsid w:val="00F76AC8"/>
    <w:rsid w:val="00F93AE3"/>
    <w:rsid w:val="00FB1881"/>
    <w:rsid w:val="00FC1766"/>
    <w:rsid w:val="00FC5495"/>
    <w:rsid w:val="00FE0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34B19-15BC-46F9-8D76-3AD2E843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1B92"/>
    <w:rPr>
      <w:b/>
      <w:bCs/>
    </w:rPr>
  </w:style>
  <w:style w:type="paragraph" w:styleId="NormalWeb">
    <w:name w:val="Normal (Web)"/>
    <w:basedOn w:val="Normal"/>
    <w:uiPriority w:val="99"/>
    <w:semiHidden/>
    <w:rsid w:val="00B5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5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8A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3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Chanchuryan</dc:creator>
  <cp:keywords>https://mul2.gov.am/tasks/45121/oneclick/NAKHAGICnor.docx?token=a4c1ffcac6daa452ec5deac8b68da775</cp:keywords>
  <cp:lastModifiedBy>Bela Galstyan</cp:lastModifiedBy>
  <cp:revision>3</cp:revision>
  <dcterms:created xsi:type="dcterms:W3CDTF">2019-04-25T06:50:00Z</dcterms:created>
  <dcterms:modified xsi:type="dcterms:W3CDTF">2019-05-29T13:09:00Z</dcterms:modified>
</cp:coreProperties>
</file>