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E5" w:rsidRPr="00784D07" w:rsidRDefault="000862E5" w:rsidP="005B21CA">
      <w:pPr>
        <w:jc w:val="center"/>
        <w:rPr>
          <w:rFonts w:ascii="GHEA Grapalat" w:hAnsi="GHEA Grapalat"/>
          <w:lang w:val="en-US"/>
        </w:rPr>
      </w:pPr>
      <w:bookmarkStart w:id="0" w:name="_GoBack"/>
      <w:bookmarkEnd w:id="0"/>
      <w:r w:rsidRPr="00784D07">
        <w:rPr>
          <w:rFonts w:ascii="GHEA Grapalat" w:hAnsi="GHEA Grapalat" w:cs="Sylfaen"/>
        </w:rPr>
        <w:t>Ա</w:t>
      </w:r>
      <w:r w:rsidRPr="00784D07">
        <w:rPr>
          <w:rFonts w:ascii="GHEA Grapalat" w:hAnsi="GHEA Grapalat"/>
          <w:lang w:val="en-US"/>
        </w:rPr>
        <w:t xml:space="preserve">  </w:t>
      </w:r>
      <w:r w:rsidRPr="00784D07">
        <w:rPr>
          <w:rFonts w:ascii="GHEA Grapalat" w:hAnsi="GHEA Grapalat" w:cs="Sylfaen"/>
        </w:rPr>
        <w:t>Մ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Փ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Ո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Փ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Ա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Թ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Ե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Ր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Թ</w:t>
      </w:r>
    </w:p>
    <w:p w:rsidR="000862E5" w:rsidRPr="00784D07" w:rsidRDefault="000862E5" w:rsidP="005B21CA">
      <w:pPr>
        <w:jc w:val="center"/>
        <w:rPr>
          <w:rFonts w:ascii="GHEA Grapalat" w:hAnsi="GHEA Grapalat"/>
          <w:sz w:val="16"/>
          <w:szCs w:val="16"/>
          <w:lang w:val="en-US"/>
        </w:rPr>
      </w:pPr>
    </w:p>
    <w:p w:rsidR="000862E5" w:rsidRPr="00784D07" w:rsidRDefault="000862E5" w:rsidP="005B21CA">
      <w:pPr>
        <w:jc w:val="center"/>
        <w:rPr>
          <w:rFonts w:ascii="GHEA Grapalat" w:hAnsi="GHEA Grapalat"/>
          <w:lang w:val="en-US"/>
        </w:rPr>
      </w:pPr>
      <w:r w:rsidRPr="00784D07">
        <w:rPr>
          <w:rFonts w:ascii="GHEA Grapalat" w:hAnsi="GHEA Grapalat"/>
          <w:lang w:val="en-US"/>
        </w:rPr>
        <w:t>«</w:t>
      </w:r>
      <w:r w:rsidRPr="00971463">
        <w:rPr>
          <w:rFonts w:ascii="GHEA Grapalat" w:hAnsi="GHEA Grapalat"/>
        </w:rPr>
        <w:t>ԱՎԻԱՑԻՈՆ</w:t>
      </w:r>
      <w:r w:rsidRPr="00971463">
        <w:rPr>
          <w:rFonts w:ascii="GHEA Grapalat" w:hAnsi="GHEA Grapalat"/>
          <w:lang w:val="en-US"/>
        </w:rPr>
        <w:t xml:space="preserve"> </w:t>
      </w:r>
      <w:r w:rsidRPr="00971463">
        <w:rPr>
          <w:rFonts w:ascii="GHEA Grapalat" w:hAnsi="GHEA Grapalat"/>
        </w:rPr>
        <w:t>ՊԱՏԱՀԱՐՆԵՐԻ</w:t>
      </w:r>
      <w:r w:rsidRPr="00971463">
        <w:rPr>
          <w:rFonts w:ascii="GHEA Grapalat" w:hAnsi="GHEA Grapalat"/>
          <w:lang w:val="en-US"/>
        </w:rPr>
        <w:t xml:space="preserve"> ԵՎ </w:t>
      </w:r>
      <w:r w:rsidRPr="00971463">
        <w:rPr>
          <w:rFonts w:ascii="GHEA Grapalat" w:hAnsi="GHEA Grapalat"/>
        </w:rPr>
        <w:t>ԼՈՒՐՋ</w:t>
      </w:r>
      <w:r w:rsidRPr="00971463">
        <w:rPr>
          <w:rFonts w:ascii="GHEA Grapalat" w:hAnsi="GHEA Grapalat"/>
          <w:lang w:val="en-US"/>
        </w:rPr>
        <w:t xml:space="preserve"> </w:t>
      </w:r>
      <w:r w:rsidRPr="00971463">
        <w:rPr>
          <w:rFonts w:ascii="GHEA Grapalat" w:hAnsi="GHEA Grapalat"/>
        </w:rPr>
        <w:t>ՄԻՋԱԴԵՊԵՐԻ</w:t>
      </w:r>
      <w:r w:rsidRPr="00971463">
        <w:rPr>
          <w:rFonts w:ascii="GHEA Grapalat" w:hAnsi="GHEA Grapalat"/>
          <w:lang w:val="en-US"/>
        </w:rPr>
        <w:t xml:space="preserve"> </w:t>
      </w:r>
      <w:r w:rsidRPr="00971463">
        <w:rPr>
          <w:rFonts w:ascii="GHEA Grapalat" w:hAnsi="GHEA Grapalat"/>
        </w:rPr>
        <w:t>ՔՆՆՈՒԹՅԱՆ</w:t>
      </w:r>
      <w:r w:rsidRPr="00971463">
        <w:rPr>
          <w:rFonts w:ascii="GHEA Grapalat" w:hAnsi="GHEA Grapalat"/>
          <w:lang w:val="en-US"/>
        </w:rPr>
        <w:t xml:space="preserve"> </w:t>
      </w:r>
      <w:r w:rsidRPr="00971463">
        <w:rPr>
          <w:rFonts w:ascii="GHEA Grapalat" w:hAnsi="GHEA Grapalat"/>
        </w:rPr>
        <w:t>ՄԻՋԱԶԳԱՅԻՆ</w:t>
      </w:r>
      <w:r w:rsidRPr="00971463">
        <w:rPr>
          <w:rFonts w:ascii="GHEA Grapalat" w:hAnsi="GHEA Grapalat"/>
          <w:lang w:val="en-US"/>
        </w:rPr>
        <w:t xml:space="preserve"> </w:t>
      </w:r>
      <w:r w:rsidRPr="00971463">
        <w:rPr>
          <w:rFonts w:ascii="GHEA Grapalat" w:hAnsi="GHEA Grapalat"/>
        </w:rPr>
        <w:t>ԲՅՈՒՐՈՅԻ</w:t>
      </w:r>
      <w:r w:rsidRPr="00971463">
        <w:rPr>
          <w:rFonts w:ascii="GHEA Grapalat" w:hAnsi="GHEA Grapalat"/>
          <w:lang w:val="en-US"/>
        </w:rPr>
        <w:t xml:space="preserve"> </w:t>
      </w:r>
      <w:r w:rsidRPr="00971463">
        <w:rPr>
          <w:rFonts w:ascii="GHEA Grapalat" w:hAnsi="GHEA Grapalat"/>
        </w:rPr>
        <w:t>ՍՏԵՂԾՄԱՆ</w:t>
      </w:r>
      <w:r w:rsidRPr="00971463">
        <w:rPr>
          <w:rFonts w:ascii="GHEA Grapalat" w:hAnsi="GHEA Grapalat"/>
          <w:lang w:val="en-US"/>
        </w:rPr>
        <w:t xml:space="preserve"> ԵՎ </w:t>
      </w:r>
      <w:r w:rsidRPr="00971463">
        <w:rPr>
          <w:rFonts w:ascii="GHEA Grapalat" w:hAnsi="GHEA Grapalat"/>
        </w:rPr>
        <w:t>ԳՈՐԾՈՒՆԵՈՒԹՅԱՆ</w:t>
      </w:r>
      <w:r w:rsidRPr="00971463">
        <w:rPr>
          <w:rFonts w:ascii="GHEA Grapalat" w:hAnsi="GHEA Grapalat"/>
          <w:lang w:val="en-US"/>
        </w:rPr>
        <w:t xml:space="preserve"> ՄԱՍԻՆ</w:t>
      </w:r>
      <w:r>
        <w:rPr>
          <w:rFonts w:ascii="GHEA Grapalat" w:hAnsi="GHEA Grapalat"/>
          <w:lang w:val="en-US"/>
        </w:rPr>
        <w:t>»</w:t>
      </w:r>
      <w:r w:rsidRPr="00784D07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ՄԻՋԱԶԳԱՅԻՆ </w:t>
      </w:r>
      <w:r>
        <w:rPr>
          <w:rFonts w:ascii="GHEA Grapalat" w:hAnsi="GHEA Grapalat"/>
        </w:rPr>
        <w:t>ՀԱՄԱՁԱՅՆԱԳՐԻ</w:t>
      </w:r>
      <w:r w:rsidRPr="00784D07">
        <w:rPr>
          <w:rFonts w:ascii="GHEA Grapalat" w:hAnsi="GHEA Grapalat"/>
          <w:lang w:val="en-US"/>
        </w:rPr>
        <w:t xml:space="preserve"> </w:t>
      </w:r>
      <w:r w:rsidRPr="009D6444">
        <w:rPr>
          <w:rFonts w:ascii="GHEA Grapalat" w:hAnsi="GHEA Grapalat"/>
        </w:rPr>
        <w:t>ՆԱԽԱԳ</w:t>
      </w:r>
      <w:r>
        <w:rPr>
          <w:rFonts w:ascii="GHEA Grapalat" w:hAnsi="GHEA Grapalat"/>
          <w:lang w:val="en-US"/>
        </w:rPr>
        <w:t xml:space="preserve">ԾԻ </w:t>
      </w:r>
      <w:r w:rsidRPr="00784D07">
        <w:rPr>
          <w:rFonts w:ascii="GHEA Grapalat" w:hAnsi="GHEA Grapalat" w:cs="Sylfaen"/>
        </w:rPr>
        <w:t>ՎԵՐԱԲԵՐՅԱԼ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ԴԻՏՈՂՈՒԹՅՈՒՆՆԵՐԻ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ԵՎ</w:t>
      </w:r>
      <w:r w:rsidRPr="00784D07">
        <w:rPr>
          <w:rFonts w:ascii="GHEA Grapalat" w:hAnsi="GHEA Grapalat"/>
          <w:lang w:val="en-US"/>
        </w:rPr>
        <w:t xml:space="preserve"> </w:t>
      </w:r>
      <w:r w:rsidRPr="00784D07">
        <w:rPr>
          <w:rFonts w:ascii="GHEA Grapalat" w:hAnsi="GHEA Grapalat" w:cs="Sylfaen"/>
        </w:rPr>
        <w:t>ԱՌԱՋԱՐԿՈՒԹՅՈՒՆՆԵՐԻ</w:t>
      </w:r>
    </w:p>
    <w:p w:rsidR="000862E5" w:rsidRPr="00784D07" w:rsidRDefault="000862E5" w:rsidP="000862E5">
      <w:pPr>
        <w:jc w:val="center"/>
        <w:rPr>
          <w:rFonts w:ascii="GHEA Grapalat" w:hAnsi="GHEA Grapalat" w:cs="Times Armenian"/>
          <w:sz w:val="20"/>
          <w:szCs w:val="20"/>
          <w:lang w:val="en-US"/>
        </w:rPr>
      </w:pPr>
    </w:p>
    <w:tbl>
      <w:tblPr>
        <w:tblW w:w="1120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4111"/>
        <w:gridCol w:w="2893"/>
        <w:gridCol w:w="1666"/>
      </w:tblGrid>
      <w:tr w:rsidR="000862E5" w:rsidRPr="00784D07" w:rsidTr="001619CC">
        <w:tc>
          <w:tcPr>
            <w:tcW w:w="2536" w:type="dxa"/>
            <w:vAlign w:val="center"/>
          </w:tcPr>
          <w:p w:rsidR="000862E5" w:rsidRPr="00784D07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Առարկության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հեղինակը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Գրության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ստացման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ամսաթիվը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գրության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vAlign w:val="center"/>
          </w:tcPr>
          <w:p w:rsidR="000862E5" w:rsidRPr="00784D07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Առարկության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893" w:type="dxa"/>
            <w:vAlign w:val="center"/>
          </w:tcPr>
          <w:p w:rsidR="000862E5" w:rsidRPr="00A77B6A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A77B6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Եզրակացությունը</w:t>
            </w:r>
            <w:proofErr w:type="spellEnd"/>
          </w:p>
        </w:tc>
        <w:tc>
          <w:tcPr>
            <w:tcW w:w="1666" w:type="dxa"/>
            <w:vAlign w:val="center"/>
          </w:tcPr>
          <w:p w:rsidR="000862E5" w:rsidRPr="00A77B6A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A77B6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Կատարված</w:t>
            </w:r>
            <w:proofErr w:type="spellEnd"/>
            <w:r w:rsidRPr="00A77B6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փոփոխությունները</w:t>
            </w:r>
            <w:proofErr w:type="spellEnd"/>
          </w:p>
        </w:tc>
      </w:tr>
      <w:tr w:rsidR="000862E5" w:rsidRPr="00784D07" w:rsidTr="001619CC">
        <w:tc>
          <w:tcPr>
            <w:tcW w:w="2536" w:type="dxa"/>
          </w:tcPr>
          <w:p w:rsidR="000862E5" w:rsidRPr="00784D07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11" w:type="dxa"/>
          </w:tcPr>
          <w:p w:rsidR="000862E5" w:rsidRPr="00784D07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84D0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893" w:type="dxa"/>
          </w:tcPr>
          <w:p w:rsidR="000862E5" w:rsidRPr="00A77B6A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77B6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66" w:type="dxa"/>
          </w:tcPr>
          <w:p w:rsidR="000862E5" w:rsidRPr="00A77B6A" w:rsidRDefault="000862E5" w:rsidP="001619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77B6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</w:tr>
      <w:tr w:rsidR="000862E5" w:rsidRPr="00C91637" w:rsidTr="001619CC">
        <w:tc>
          <w:tcPr>
            <w:tcW w:w="2536" w:type="dxa"/>
          </w:tcPr>
          <w:p w:rsidR="000862E5" w:rsidRDefault="000862E5" w:rsidP="00DA2209">
            <w:pPr>
              <w:numPr>
                <w:ilvl w:val="0"/>
                <w:numId w:val="17"/>
              </w:num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Արտաքին գործերի նախարարություն</w:t>
            </w:r>
          </w:p>
          <w:p w:rsidR="000862E5" w:rsidRDefault="000862E5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07.09.2018թ.</w:t>
            </w:r>
          </w:p>
          <w:p w:rsidR="000862E5" w:rsidRDefault="000862E5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874DD">
              <w:rPr>
                <w:rFonts w:ascii="GHEA Grapalat" w:hAnsi="GHEA Grapalat" w:cs="Sylfaen"/>
                <w:sz w:val="18"/>
                <w:szCs w:val="18"/>
                <w:lang w:val="af-ZA"/>
              </w:rPr>
              <w:t>1111/920-18</w:t>
            </w: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31D6A">
            <w:pPr>
              <w:tabs>
                <w:tab w:val="left" w:pos="497"/>
              </w:tabs>
              <w:ind w:left="159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Արտաքին գործերի նախարարություն</w:t>
            </w:r>
          </w:p>
          <w:p w:rsidR="00D31D6A" w:rsidRPr="00D31D6A" w:rsidRDefault="00D31D6A" w:rsidP="00D31D6A">
            <w:pPr>
              <w:tabs>
                <w:tab w:val="left" w:pos="497"/>
              </w:tabs>
              <w:ind w:left="159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պատասխան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տրանսպորտի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կապի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տեղեկատվական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տեխնալոգիաների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01.11.18</w:t>
            </w:r>
            <w:r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03/17.1/17617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D31D6A" w:rsidRDefault="00D31D6A" w:rsidP="00DA2209">
            <w:pPr>
              <w:tabs>
                <w:tab w:val="left" w:pos="497"/>
              </w:tabs>
              <w:ind w:left="18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111" w:type="dxa"/>
            <w:vAlign w:val="center"/>
          </w:tcPr>
          <w:p w:rsidR="00C91637" w:rsidRPr="005B21CA" w:rsidRDefault="00C91637" w:rsidP="00C91637">
            <w:pPr>
              <w:pStyle w:val="ac"/>
              <w:numPr>
                <w:ilvl w:val="0"/>
                <w:numId w:val="20"/>
              </w:numPr>
              <w:tabs>
                <w:tab w:val="left" w:pos="260"/>
              </w:tabs>
              <w:ind w:left="34" w:firstLine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91637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Армянская сторона исходит из необходимости отредактировать пункты 1, 3, 5 и 7 статьи 13 Соглашения в части утверждения упомянутых в данных пунктах документов со стороны глав правитель</w:t>
            </w:r>
            <w:proofErr w:type="gramStart"/>
            <w:r w:rsidRPr="00C91637">
              <w:rPr>
                <w:rFonts w:ascii="GHEA Grapalat" w:hAnsi="GHEA Grapalat" w:cs="Sylfaen"/>
                <w:sz w:val="20"/>
                <w:szCs w:val="20"/>
                <w:lang w:val="ru-RU"/>
              </w:rPr>
              <w:t>ств</w:t>
            </w:r>
            <w:r w:rsidR="005B21CA"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C91637">
              <w:rPr>
                <w:rFonts w:ascii="GHEA Grapalat" w:hAnsi="GHEA Grapalat" w:cs="Sylfaen"/>
                <w:sz w:val="20"/>
                <w:szCs w:val="20"/>
                <w:lang w:val="ru-RU"/>
              </w:rPr>
              <w:t>ст</w:t>
            </w:r>
            <w:proofErr w:type="gramEnd"/>
            <w:r w:rsidRPr="00C91637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орон. 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С учетом состоявшегося обсуждения, Армянская сторона предлагает слова 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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>решением глав правительств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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и 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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>главами правительств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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заменить словами 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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>главами правительств или уполномоченными ими лицами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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либо словом 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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>Сторонами</w:t>
            </w:r>
            <w:r w:rsidRPr="00C91637">
              <w:rPr>
                <w:rFonts w:ascii="GHEA Grapalat" w:hAnsi="GHEA Grapalat" w:cs="Sylfaen"/>
                <w:sz w:val="20"/>
                <w:szCs w:val="20"/>
              </w:rPr>
              <w:t></w:t>
            </w:r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Данная </w:t>
            </w:r>
            <w:proofErr w:type="gramStart"/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>правка</w:t>
            </w:r>
            <w:proofErr w:type="gramEnd"/>
            <w:r w:rsidRPr="005B21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по сути не требует дополнительного обсуждения, но в тоже время ее отражение в тексте Соглашения даст возможность практического и эффективного применения положений данной статьи для всех государств-участников Соглашения. Армянская сторона готова поддержать приемлемый для всех сторон вариант изложенного предложения. </w:t>
            </w:r>
          </w:p>
          <w:p w:rsidR="00C91637" w:rsidRPr="00A77B6A" w:rsidRDefault="00C91637" w:rsidP="00C91637">
            <w:pPr>
              <w:tabs>
                <w:tab w:val="left" w:pos="260"/>
              </w:tabs>
              <w:spacing w:line="276" w:lineRule="auto"/>
              <w:ind w:left="3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gramStart"/>
            <w:r w:rsidRPr="00FF6BEB">
              <w:rPr>
                <w:rFonts w:ascii="GHEA Grapalat" w:hAnsi="GHEA Grapalat" w:cs="Sylfaen"/>
                <w:sz w:val="20"/>
                <w:szCs w:val="20"/>
              </w:rPr>
              <w:t xml:space="preserve">Также дополнительно обращаем внимание на то, что редакция второго абзаца пункта 24 Приложения к Соглашению создает основания двоякого применения положений данного пункта, чего можно избежать путем замены слов и/или указанными лицами словами за счет средств бюджета Бюро. Такой подход также соответствует механизму, заложенному на основе аналогичных положений пункта 44 Приложения 32 к </w:t>
            </w:r>
            <w:r w:rsidRPr="00FF6BEB">
              <w:rPr>
                <w:rFonts w:ascii="GHEA Grapalat" w:hAnsi="GHEA Grapalat" w:cs="Sylfaen"/>
                <w:sz w:val="20"/>
                <w:szCs w:val="20"/>
              </w:rPr>
              <w:lastRenderedPageBreak/>
              <w:t>Договору о ЕАЭС от 29 мая 2014</w:t>
            </w:r>
            <w:proofErr w:type="gramEnd"/>
            <w:r w:rsidRPr="00FF6BEB">
              <w:rPr>
                <w:rFonts w:ascii="GHEA Grapalat" w:hAnsi="GHEA Grapalat" w:cs="Sylfaen"/>
                <w:sz w:val="20"/>
                <w:szCs w:val="20"/>
              </w:rPr>
              <w:t xml:space="preserve"> года.</w:t>
            </w:r>
          </w:p>
          <w:p w:rsidR="00D31D6A" w:rsidRPr="00A77B6A" w:rsidRDefault="00D31D6A" w:rsidP="00C91637">
            <w:pPr>
              <w:tabs>
                <w:tab w:val="left" w:pos="260"/>
              </w:tabs>
              <w:spacing w:line="276" w:lineRule="auto"/>
              <w:ind w:left="34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D31D6A">
            <w:pPr>
              <w:tabs>
                <w:tab w:val="left" w:pos="260"/>
              </w:tabs>
              <w:spacing w:line="276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պատասխան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Ձեր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01.11.2018</w:t>
            </w: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03/17.1/17617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գրության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հայտնում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77B6A">
              <w:rPr>
                <w:rFonts w:ascii="GHEA Grapalat" w:hAnsi="GHEA Grapalat" w:cs="Times Armenian"/>
                <w:sz w:val="20"/>
                <w:szCs w:val="20"/>
              </w:rPr>
              <w:t>«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Ավիացիոն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պատահարների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լուրջ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միջադեպերի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քննության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հարցերով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միջազգային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բյուրոյի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ստեղծման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մասին</w:t>
            </w:r>
            <w:proofErr w:type="spellEnd"/>
            <w:r w:rsidRPr="00A77B6A">
              <w:rPr>
                <w:rFonts w:ascii="GHEA Grapalat" w:hAnsi="GHEA Grapalat" w:cs="Times Armenian"/>
                <w:sz w:val="20"/>
                <w:szCs w:val="20"/>
              </w:rPr>
              <w:t>»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Համաձայնագրի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այսուհետ</w:t>
            </w:r>
            <w:proofErr w:type="spellEnd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Համաձայնագրի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նախագիծ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14-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կետի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3-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ենթակետի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</w:t>
            </w:r>
            <w:proofErr w:type="spellEnd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Բյուրոյի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նախագահը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Բյուրոյի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աշխատակիցներն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ազատվում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պետական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պարտավորություններից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Խնդրում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բանակցող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կողմերից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պարզել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նշված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արտոնությունով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Բյուրոյի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նախագահը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Բյուրոյի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աշխատակիցներն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ազատվում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նստավայր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պետության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նկատմամբ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պետական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պարտավորություններից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թե</w:t>
            </w:r>
            <w:proofErr w:type="spellEnd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իրենց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քաղաքացիության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պետության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նկատմամբ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պետական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պարտավորություններից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Եթե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արտոնությունը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քաղաքացիության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պետության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նկատմամբ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պետական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պարտավորություններին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ապա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փաստաթուղթը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ստորագրել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վերապահումով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որի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նախագիծը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կցվում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A77B6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D31D6A" w:rsidRDefault="00D31D6A" w:rsidP="00D31D6A">
            <w:pPr>
              <w:tabs>
                <w:tab w:val="left" w:pos="260"/>
              </w:tabs>
              <w:spacing w:line="276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վերապահման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նախագիծը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համաձայնեցնել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բանակցող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կողմերի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1D6A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D31D6A" w:rsidRDefault="00D31D6A" w:rsidP="00D31D6A">
            <w:pPr>
              <w:tabs>
                <w:tab w:val="left" w:pos="260"/>
              </w:tabs>
              <w:spacing w:line="276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31D6A" w:rsidRPr="00D31D6A" w:rsidRDefault="00D31D6A" w:rsidP="00D31D6A">
            <w:pPr>
              <w:tabs>
                <w:tab w:val="left" w:pos="260"/>
              </w:tabs>
              <w:spacing w:line="276" w:lineRule="auto"/>
              <w:ind w:left="3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Վերապահման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տեքստը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31D6A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հայերեն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ռուսերեն</w:t>
            </w:r>
            <w:proofErr w:type="spellEnd"/>
            <w:r w:rsidRPr="00D31D6A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կցվում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է: </w:t>
            </w:r>
          </w:p>
          <w:p w:rsidR="003B130A" w:rsidRPr="003B130A" w:rsidRDefault="000862E5" w:rsidP="00C91637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874D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893" w:type="dxa"/>
          </w:tcPr>
          <w:p w:rsidR="000862E5" w:rsidRPr="00A77B6A" w:rsidRDefault="00C91637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77B6A">
              <w:rPr>
                <w:rFonts w:ascii="GHEA Grapalat" w:hAnsi="GHEA Grapalat" w:cs="Sylfaen"/>
                <w:sz w:val="20"/>
                <w:szCs w:val="20"/>
              </w:rPr>
              <w:lastRenderedPageBreak/>
              <w:t>Ընդունելի</w:t>
            </w:r>
            <w:proofErr w:type="spellEnd"/>
            <w:r w:rsidRPr="00A77B6A">
              <w:rPr>
                <w:rFonts w:ascii="GHEA Grapalat" w:hAnsi="GHEA Grapalat" w:cs="Sylfaen"/>
                <w:sz w:val="20"/>
                <w:szCs w:val="20"/>
              </w:rPr>
              <w:t xml:space="preserve"> է: </w:t>
            </w: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D31D6A" w:rsidRPr="00A77B6A" w:rsidRDefault="00D31D6A" w:rsidP="001619CC">
            <w:pPr>
              <w:ind w:left="-17" w:hanging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66" w:type="dxa"/>
          </w:tcPr>
          <w:p w:rsidR="000862E5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 </w:t>
            </w:r>
          </w:p>
        </w:tc>
      </w:tr>
      <w:tr w:rsidR="000862E5" w:rsidRPr="00DE2E04" w:rsidTr="001619CC">
        <w:tc>
          <w:tcPr>
            <w:tcW w:w="2536" w:type="dxa"/>
          </w:tcPr>
          <w:p w:rsidR="000862E5" w:rsidRPr="007B0D2C" w:rsidRDefault="000862E5" w:rsidP="001619CC">
            <w:pPr>
              <w:numPr>
                <w:ilvl w:val="0"/>
                <w:numId w:val="17"/>
              </w:numPr>
              <w:tabs>
                <w:tab w:val="left" w:pos="301"/>
              </w:tabs>
              <w:ind w:left="18" w:hanging="12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Արդարադատության</w:t>
            </w:r>
            <w:proofErr w:type="spellEnd"/>
            <w:r w:rsidRPr="007874D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B0D2C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0862E5" w:rsidRPr="007B0D2C" w:rsidRDefault="000862E5" w:rsidP="001619CC">
            <w:pPr>
              <w:tabs>
                <w:tab w:val="left" w:pos="301"/>
              </w:tabs>
              <w:ind w:left="18" w:hanging="12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74DD">
              <w:rPr>
                <w:rFonts w:ascii="GHEA Grapalat" w:hAnsi="GHEA Grapalat" w:cs="Sylfaen"/>
                <w:sz w:val="20"/>
                <w:szCs w:val="20"/>
                <w:lang w:val="af-ZA"/>
              </w:rPr>
              <w:t>18-09-</w:t>
            </w:r>
            <w:r w:rsidRPr="007B0D2C">
              <w:rPr>
                <w:rFonts w:ascii="GHEA Grapalat" w:hAnsi="GHEA Grapalat" w:cs="Sylfaen"/>
                <w:sz w:val="20"/>
                <w:szCs w:val="20"/>
                <w:lang w:val="en-US"/>
              </w:rPr>
              <w:t>18</w:t>
            </w:r>
          </w:p>
          <w:p w:rsidR="000862E5" w:rsidRPr="007B0D2C" w:rsidRDefault="000862E5" w:rsidP="001619CC">
            <w:pPr>
              <w:tabs>
                <w:tab w:val="left" w:pos="301"/>
              </w:tabs>
              <w:ind w:left="18" w:hanging="12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B0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02/14/622939-18</w:t>
            </w:r>
          </w:p>
          <w:p w:rsidR="000862E5" w:rsidRDefault="000862E5" w:rsidP="001619CC">
            <w:pPr>
              <w:ind w:left="378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111" w:type="dxa"/>
            <w:vAlign w:val="center"/>
          </w:tcPr>
          <w:p w:rsidR="000862E5" w:rsidRPr="00A77B6A" w:rsidRDefault="000862E5" w:rsidP="001619CC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Համաձայնագրի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նախագիծը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չի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պարունակում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Հայաստանի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Հանրապետության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օրենքին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հակասող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օրենքի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փոփոխություն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կամ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նոր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օրենքի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ընդունում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նախատեսող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նորմեր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>:</w:t>
            </w:r>
          </w:p>
          <w:p w:rsidR="000862E5" w:rsidRPr="00257F90" w:rsidRDefault="000862E5" w:rsidP="001619CC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Միաժամանակ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գտնում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ենք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որ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Համաձայնագիրը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ենթակա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է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վավերացման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ՀՀ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Ազգային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ժողովի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կողմից՝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ՀՀ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Սահմանադրության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116-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րդ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հոդվածի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1-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ին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մասի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4-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րդ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կետի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Times Armenian"/>
                <w:sz w:val="20"/>
                <w:szCs w:val="16"/>
                <w:lang w:val="hy-AM"/>
              </w:rPr>
              <w:t>«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Միջազգային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պայմանագրերի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մասին</w:t>
            </w:r>
            <w:r w:rsidRPr="00A77B6A">
              <w:rPr>
                <w:rFonts w:ascii="GHEA Grapalat" w:hAnsi="GHEA Grapalat" w:cs="Times Armenian"/>
                <w:sz w:val="20"/>
                <w:szCs w:val="16"/>
                <w:lang w:val="hy-AM"/>
              </w:rPr>
              <w:t>»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ՀՀ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օրենքի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10-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րդ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հոդվածի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2-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րդ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մասի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4-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lastRenderedPageBreak/>
              <w:t>րդ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կետի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դրույթների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16"/>
                <w:lang w:val="hy-AM"/>
              </w:rPr>
              <w:t>հիմքով</w:t>
            </w:r>
            <w:r w:rsidRPr="00A77B6A">
              <w:rPr>
                <w:rFonts w:ascii="GHEA Grapalat" w:hAnsi="GHEA Grapalat"/>
                <w:sz w:val="20"/>
                <w:szCs w:val="16"/>
                <w:lang w:val="hy-AM"/>
              </w:rPr>
              <w:t>:</w:t>
            </w:r>
          </w:p>
        </w:tc>
        <w:tc>
          <w:tcPr>
            <w:tcW w:w="2893" w:type="dxa"/>
          </w:tcPr>
          <w:p w:rsidR="000862E5" w:rsidRPr="00A77B6A" w:rsidRDefault="003B130A" w:rsidP="001619CC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A77B6A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Ընդունվել</w:t>
            </w:r>
            <w:proofErr w:type="spellEnd"/>
            <w:r w:rsidRPr="00A77B6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է ի </w:t>
            </w:r>
            <w:proofErr w:type="spellStart"/>
            <w:r w:rsidRPr="00A77B6A">
              <w:rPr>
                <w:rFonts w:ascii="GHEA Grapalat" w:hAnsi="GHEA Grapalat" w:cs="Sylfaen"/>
                <w:sz w:val="20"/>
                <w:szCs w:val="20"/>
                <w:lang w:val="en-US"/>
              </w:rPr>
              <w:t>գիտություն</w:t>
            </w:r>
            <w:proofErr w:type="spellEnd"/>
            <w:r w:rsidRPr="00A77B6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666" w:type="dxa"/>
          </w:tcPr>
          <w:p w:rsidR="000862E5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</w:p>
        </w:tc>
      </w:tr>
      <w:tr w:rsidR="000862E5" w:rsidRPr="00D70417" w:rsidTr="001619CC">
        <w:tc>
          <w:tcPr>
            <w:tcW w:w="2536" w:type="dxa"/>
          </w:tcPr>
          <w:p w:rsidR="000862E5" w:rsidRPr="007C3DC6" w:rsidRDefault="000862E5" w:rsidP="001619CC">
            <w:pPr>
              <w:numPr>
                <w:ilvl w:val="0"/>
                <w:numId w:val="17"/>
              </w:numPr>
              <w:tabs>
                <w:tab w:val="left" w:pos="301"/>
              </w:tabs>
              <w:ind w:left="18" w:hanging="12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Աշխատանքի</w:t>
            </w:r>
            <w:proofErr w:type="spellEnd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եւ</w:t>
            </w:r>
            <w:proofErr w:type="spellEnd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սոցիալական</w:t>
            </w:r>
            <w:proofErr w:type="spellEnd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հարցերի</w:t>
            </w:r>
            <w:proofErr w:type="spellEnd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proofErr w:type="spellEnd"/>
          </w:p>
          <w:p w:rsidR="000862E5" w:rsidRPr="007C3DC6" w:rsidRDefault="000862E5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25.09.2018թ.</w:t>
            </w:r>
          </w:p>
          <w:p w:rsidR="000862E5" w:rsidRDefault="000862E5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ՄԹ/ԱնՄ-1-4/14362-18</w:t>
            </w: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77B6A" w:rsidRPr="00A77B6A" w:rsidRDefault="00A77B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D31D6A" w:rsidRPr="007C3DC6" w:rsidRDefault="00D31D6A" w:rsidP="00D31D6A">
            <w:pPr>
              <w:tabs>
                <w:tab w:val="left" w:pos="301"/>
              </w:tabs>
              <w:ind w:left="408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Աշխատանքի</w:t>
            </w:r>
            <w:proofErr w:type="spellEnd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A77B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սոցիալական</w:t>
            </w:r>
            <w:proofErr w:type="spellEnd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հարցերի</w:t>
            </w:r>
            <w:proofErr w:type="spellEnd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C3D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proofErr w:type="spellEnd"/>
          </w:p>
          <w:p w:rsidR="00D31D6A" w:rsidRPr="00D31D6A" w:rsidRDefault="00D31D6A" w:rsidP="00D31D6A">
            <w:pPr>
              <w:tabs>
                <w:tab w:val="left" w:pos="497"/>
              </w:tabs>
              <w:ind w:left="159" w:firstLine="2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պատասխան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տրանսպորտի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կապի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տեղեկատվական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տեխնալոգիաների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01.11.18</w:t>
            </w:r>
            <w:r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D31D6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03/17.1/17617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</w:p>
          <w:p w:rsidR="00D31D6A" w:rsidRPr="00D31D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A77B6A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D31D6A" w:rsidRPr="007C3DC6" w:rsidRDefault="00D31D6A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862E5" w:rsidRPr="007C3DC6" w:rsidRDefault="000862E5" w:rsidP="001619CC">
            <w:pPr>
              <w:tabs>
                <w:tab w:val="left" w:pos="301"/>
              </w:tabs>
              <w:ind w:left="18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111" w:type="dxa"/>
            <w:vAlign w:val="center"/>
          </w:tcPr>
          <w:p w:rsidR="00DE2E04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1.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Նախագծի 14-րդ հոդվածում հստակեցնել, թե արդյո՞ք տվյալ հոդվածի գործողությունը (Բյուրոյի, Բյուրոյի Նախագահի և Բյուրոյի աշխատակիցների սոցիալական երաշխիքները, արտոնությունների և անձեռնմխելիության վերաբերյալ) տարածվում է նաև Բյուրոյի մասնաճյուղերի աշխատողների վրա, այսինքն՝ Բյուրոյի մասնաճյուղերի աշխատողները հանդիսանու՞մ են Բյուրոյի աշխատակիցներ:</w:t>
            </w: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Ըստ այդմ, եթե Բյուրոյի մասնաճյուղերի աշխատողները հանդիսանում են Բյուրոյի աշխատակիցներ, անհրաժեշտ կլինի նաև Նախագծի հավելվածի (այսուհետ՝ Հավելված) 1-ին կետի 1-ին պարբերությունում հստակեցնել «գտնվելու վայրի պետություն» հասկացության իմաստը,</w:t>
            </w:r>
          </w:p>
          <w:p w:rsidR="00DE2E04" w:rsidRPr="00A77B6A" w:rsidRDefault="00DE2E04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D70417" w:rsidRDefault="00DE2E04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2.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Հավելվածի 1-ին կետի 3-րդ պարբերությունում «ապահովագրություն ժամանակավոր» բառերը փոխարինել «ապահովագրություն կամ սոցիալական ապահովություն ժամանակավոր» բառերով, քանի որ ոչ բոլոր պետություններում է գործում սոցիալական ապահովագրության համակարգ,</w:t>
            </w:r>
          </w:p>
          <w:p w:rsidR="0076179F" w:rsidRPr="00A77B6A" w:rsidRDefault="0076179F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3.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 xml:space="preserve">Հավելվածի 24-րդ կետից հանել «և/կամ նշված անձանց կողմից» բառերը: Հակառակ դեպքում անհրաժեշտ է հստակեցնել, թե որ դեպքում են կենսաթոշակի իրավունք տվող վճարները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կատարվում Բյուրոյի, որ դեպքում՝ անձանց կողմից: Ընդ որում հարկ է նկատի ունենալ, որ ազգային օրենսդրությամբ չի կարող նախատեսվել պարտադիր կատարման ենթակա նորմ (կենսաթոշակի իրավունք տվող վճարի կատարում) միջազգային կազմակերպության համար: Նման դրույթները կարող են նախատեսվել միջազգային պայմանագրով: Նկատենք, որ այս մոտեցումը համահունչ է Հավելվածով առաջարկվող այն մոտեցմանը, որ սոցիալական ապահովագրության այլ դեպքերում ապահովագրական գումարները վճարվում են Բյուրոյի հաշվին:</w:t>
            </w:r>
          </w:p>
          <w:p w:rsidR="00DC5F93" w:rsidRPr="00A77B6A" w:rsidRDefault="00DC5F93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4.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Սույն եզրակացության 2-րդ կետում բերված առաջարկությանը համապատասխան՝ Հավելվածի 25-րդ կետում «կենսաթոշակային ապահովագրությունից» բառերը փոխարինել «կենսաթոշակային ապահովությունից» բառերով, իսկ 2-րդ պարբերությունում «ապահովագրական գումարները» բառերը փոխարինել «ապահովագրական (ապահովության) գումարները» բառերով:</w:t>
            </w: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Միաժամանակ տեղեկացնում ենք, որ Հայաստանի Հանրապետությունում դեռևս ներդրված չէ արտադրությունում դժբախտ դեպքերի և մասնագիտական հիվանդությունների դեպքում պարտադիր ապահովագրության համակարգ:</w:t>
            </w:r>
          </w:p>
          <w:p w:rsidR="00D31D6A" w:rsidRPr="00A77B6A" w:rsidRDefault="00D31D6A" w:rsidP="001619C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31D6A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Տեղեկացնում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հաշվի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առնելով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Times Armenian"/>
                <w:sz w:val="20"/>
                <w:szCs w:val="20"/>
                <w:lang w:val="hy-AM"/>
              </w:rPr>
              <w:t>«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Ավիացիոն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պատահարների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լուրջ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միջադեպերի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քննության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բյուրոյի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ստեղծման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A77B6A">
              <w:rPr>
                <w:rFonts w:ascii="GHEA Grapalat" w:hAnsi="GHEA Grapalat" w:cs="Times Armenian"/>
                <w:sz w:val="20"/>
                <w:szCs w:val="20"/>
                <w:lang w:val="hy-AM"/>
              </w:rPr>
              <w:t>»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այսուհետ՝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համաձայնագիր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կապակցությամբ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մեր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առարկությունները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ինչպես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կարևորությունը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համաձայնագիրը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անունից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ստորագրել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վերապահումով։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Միաժամանակ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կից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վերապահման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նախագիծը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24-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երկու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հայերեն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ռուսերեն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տարբերակներով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տարբերակները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կարգով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կապի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տեղեկատվական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ներկայացուցիչներին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A77B6A">
              <w:rPr>
                <w:rFonts w:ascii="GHEA Grapalat" w:hAnsi="GHEA Grapalat" w:cs="Tahoma"/>
                <w:sz w:val="20"/>
                <w:szCs w:val="20"/>
                <w:lang w:val="hy-AM"/>
              </w:rPr>
              <w:t>։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Տեղեկացնում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վերապահման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անհրաժեշտությունը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պայմանավորված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այն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հանգամանքով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նույն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2-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պարբերության՝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Բյուրոյի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Նախագահի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Բյուրոյի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աշխատակիցների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կենսաթոշակային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պարտադիր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հատկացումները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իրականացվում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օրենսդրությամբ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սահմանված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կարգով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չափով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որոնց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քաղաքացի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նրանք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հանդիսանում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իսկ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Times Armenian"/>
                <w:sz w:val="20"/>
                <w:szCs w:val="20"/>
                <w:lang w:val="hy-AM"/>
              </w:rPr>
              <w:t>«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կենսաթոշակների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A77B6A">
              <w:rPr>
                <w:rFonts w:ascii="GHEA Grapalat" w:hAnsi="GHEA Grapalat" w:cs="Times Armenian"/>
                <w:sz w:val="20"/>
                <w:szCs w:val="20"/>
                <w:lang w:val="hy-AM"/>
              </w:rPr>
              <w:t>»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հարաբերությունների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գտնվող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պաշտոնեական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պարտականությունները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)`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քաղաքացիների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կենսաթոշակային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վճարը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վճարում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կազմակերպությունը՝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պայմանագրով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դեպքերում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քաղաքացին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որևէ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վճար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):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Արդյունքում՝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համաձայնագիրն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ուժի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մտնելու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կունենանք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իրավիճակ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երբ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պայմանագիրը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կենսաթոշակային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վճարի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օրենսդրությամբ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սահմանված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իսկ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օրենսդրությունը՝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միջազգային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պայմանագրով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դեպքում։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Նույնական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առկա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կուտակային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կենսաթոշակի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տվող՝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սոցիալական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վճարների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մասով։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այդմ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հստակեցնել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քաղաքացի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հանդիսացող՝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Բյուրոյի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Նախագահի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Բյուրոյի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աշխատակիցների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կենսաթոշակային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պարտադիր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հատկացումները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իրականացվում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Բյուրոյի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կողմից։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31D6A" w:rsidRPr="00A77B6A" w:rsidRDefault="00D31D6A" w:rsidP="00D31D6A">
            <w:pPr>
              <w:tabs>
                <w:tab w:val="left" w:pos="260"/>
              </w:tabs>
              <w:spacing w:line="276" w:lineRule="auto"/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Վերապահման Նախագծի տեքստը (հայերեն և ռուսերեն) կցվում է: 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31D6A" w:rsidRPr="00A77B6A" w:rsidRDefault="00D31D6A" w:rsidP="00D31D6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893" w:type="dxa"/>
          </w:tcPr>
          <w:p w:rsidR="000862E5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Հարց</w:t>
            </w:r>
            <w:r w:rsidR="007F3AB0"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</w:t>
            </w:r>
            <w:r w:rsidR="002E7243"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ունի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լրացուցիչ քննարկման անհրաժեշտություն:</w:t>
            </w: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D70417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Ընդունելի չէ, քանի որ Նախագծի 12-րդ հոդվածը սահմանում է, որ յուրաքանչյուր նոր մասնաճյուղ հիմնելիս կողմերի միջև կնքվում է առանձին </w:t>
            </w:r>
            <w:r w:rsidR="002E7243"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միջազգային պայմանագիր</w:t>
            </w: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, և մասնաճյուղերի գործունեության հետ կապված հարցրեը, այդ թվում նաև ֆինանսական ապահովման հետ կապված հարցերը, կարգավորվում են վերոնշյալ միջազգային պայմանագրերով:</w:t>
            </w: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D70417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E2E04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Ընդունելի է: </w:t>
            </w:r>
          </w:p>
          <w:p w:rsidR="007F3AB0" w:rsidRPr="00A77B6A" w:rsidRDefault="007F3AB0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7F3AB0" w:rsidRPr="00A77B6A" w:rsidRDefault="007F3AB0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7F3AB0" w:rsidRPr="00A77B6A" w:rsidRDefault="007F3AB0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D70417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76179F" w:rsidRPr="00A77B6A" w:rsidRDefault="0076179F" w:rsidP="0076179F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>Հարցն ունի լրացուցիչ քննարկման անհրաժեշտություն:</w:t>
            </w: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D70417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C5F93" w:rsidRPr="00A77B6A" w:rsidRDefault="00DC5F93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Ընդունելի է: </w:t>
            </w:r>
          </w:p>
          <w:p w:rsidR="00DE2E04" w:rsidRPr="00A77B6A" w:rsidRDefault="00DE2E04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7B6A" w:rsidRPr="00D70417" w:rsidRDefault="00A77B6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3B130A" w:rsidRPr="00A77B6A" w:rsidRDefault="003B130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3B130A" w:rsidRPr="00A77B6A" w:rsidRDefault="003B130A" w:rsidP="00DE2E04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Ընդունվել է ի գիտություն: </w:t>
            </w:r>
          </w:p>
        </w:tc>
        <w:tc>
          <w:tcPr>
            <w:tcW w:w="1666" w:type="dxa"/>
          </w:tcPr>
          <w:p w:rsidR="000862E5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77B6A" w:rsidRPr="00A77B6A" w:rsidRDefault="00A77B6A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EB6EA0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Փոխհամաձայնեցված</w:t>
            </w:r>
            <w:r w:rsidR="00301108"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862E5" w:rsidRPr="00D70417" w:rsidTr="001619CC">
        <w:tc>
          <w:tcPr>
            <w:tcW w:w="2536" w:type="dxa"/>
          </w:tcPr>
          <w:p w:rsidR="000862E5" w:rsidRPr="00312BDF" w:rsidRDefault="000862E5" w:rsidP="001619CC">
            <w:pPr>
              <w:numPr>
                <w:ilvl w:val="0"/>
                <w:numId w:val="17"/>
              </w:numPr>
              <w:tabs>
                <w:tab w:val="left" w:pos="301"/>
              </w:tabs>
              <w:ind w:left="18" w:hanging="12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2B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proofErr w:type="spellEnd"/>
          </w:p>
          <w:p w:rsidR="000862E5" w:rsidRPr="00312BDF" w:rsidRDefault="000862E5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12B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25.09.2018թ.</w:t>
            </w:r>
          </w:p>
          <w:p w:rsidR="000862E5" w:rsidRPr="007C3DC6" w:rsidRDefault="000862E5" w:rsidP="001619CC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12B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04/5-3/17288-18</w:t>
            </w:r>
          </w:p>
        </w:tc>
        <w:tc>
          <w:tcPr>
            <w:tcW w:w="4111" w:type="dxa"/>
            <w:vAlign w:val="center"/>
          </w:tcPr>
          <w:p w:rsidR="000862E5" w:rsidRPr="00A77B6A" w:rsidRDefault="000862E5" w:rsidP="001619CC">
            <w:pPr>
              <w:tabs>
                <w:tab w:val="left" w:pos="63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«Ավիացիոն </w:t>
            </w:r>
            <w:r w:rsidR="00D70417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պատահարների և լուրջ միջադեպերի 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քննության միջազգային բյուրո ստեղծելու մասին» համաձայնագրի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այսուհետ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Նախագիծ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13-րդ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1-ին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կետը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նախատեսում է Հայաստանի Հանրապետության համար ֆինանսական պարտավորություններ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որոնք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կհանգեցն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պետական բյուջեից լրացուցիչ ծախսերի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որի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գնահատականը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բացակայում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է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0862E5" w:rsidRPr="00A77B6A" w:rsidRDefault="000862E5" w:rsidP="001619CC">
            <w:pPr>
              <w:tabs>
                <w:tab w:val="left" w:pos="63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Միաժամանակ</w:t>
            </w:r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14-րդ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3-րդ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ով պայմանավորված՝ Նախագծի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ընդունումը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կհանգեցնի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եկամուտների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20"/>
              </w:rPr>
              <w:t>նվազեցման</w:t>
            </w:r>
            <w:proofErr w:type="spellEnd"/>
            <w:r w:rsidRPr="00A77B6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0862E5" w:rsidRPr="00A77B6A" w:rsidRDefault="000862E5" w:rsidP="001619CC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893" w:type="dxa"/>
          </w:tcPr>
          <w:p w:rsidR="000862E5" w:rsidRPr="00A77B6A" w:rsidRDefault="000862E5" w:rsidP="001619CC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666" w:type="dxa"/>
          </w:tcPr>
          <w:p w:rsidR="000862E5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Ստեղծվող Բյուրոյի բյուջեն ձևավորվում է կողմերի բաժնային վճարումների հաշվին, որոնց չափերը (սանդղակը) սահմանվում էն Կողմերի կառավարությունների ղեկավարների կողմից : </w:t>
            </w:r>
          </w:p>
          <w:p w:rsidR="00D31D6A" w:rsidRPr="00A77B6A" w:rsidRDefault="00D31D6A" w:rsidP="00D31D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Հաշվի առնելով, որ ներկայումս Բյուրոն ձևավորված չէ և սահմանված չէ դրա բյուջեն, ուստի ֆինանսական պարտավորությունների չափերը կհստակեցվեն միայն դրանք սահմանելուց հետո: </w:t>
            </w:r>
          </w:p>
        </w:tc>
      </w:tr>
      <w:tr w:rsidR="004642AD" w:rsidRPr="00A77B6A" w:rsidTr="00583EE1">
        <w:tc>
          <w:tcPr>
            <w:tcW w:w="11206" w:type="dxa"/>
            <w:gridSpan w:val="4"/>
          </w:tcPr>
          <w:p w:rsidR="004642AD" w:rsidRPr="00A77B6A" w:rsidRDefault="004642AD" w:rsidP="007F3A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 xml:space="preserve">Ի պատասխան ՔԱԿ նախագահի 2018թ. </w:t>
            </w:r>
            <w:r w:rsidR="007F3AB0" w:rsidRPr="00A77B6A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եպտեմբերի 1</w:t>
            </w: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1-ի թիվ 1.1/10.1/</w:t>
            </w:r>
            <w:r w:rsidRPr="00A77B6A">
              <w:rPr>
                <w:rFonts w:ascii="GHEA Grapalat" w:hAnsi="GHEA Grapalat"/>
                <w:sz w:val="20"/>
                <w:szCs w:val="20"/>
                <w:lang w:val="hy-AM"/>
              </w:rPr>
              <w:t>2003</w:t>
            </w:r>
            <w:r w:rsidRPr="00A77B6A">
              <w:rPr>
                <w:rFonts w:ascii="GHEA Grapalat" w:hAnsi="GHEA Grapalat"/>
                <w:sz w:val="20"/>
                <w:szCs w:val="20"/>
                <w:lang w:val="af-ZA"/>
              </w:rPr>
              <w:t>-18 գրության</w:t>
            </w:r>
          </w:p>
        </w:tc>
      </w:tr>
      <w:tr w:rsidR="004642AD" w:rsidRPr="00784D07" w:rsidTr="004642AD">
        <w:tc>
          <w:tcPr>
            <w:tcW w:w="2536" w:type="dxa"/>
          </w:tcPr>
          <w:p w:rsidR="004642AD" w:rsidRPr="004642AD" w:rsidRDefault="004642AD" w:rsidP="004642AD">
            <w:pPr>
              <w:numPr>
                <w:ilvl w:val="0"/>
                <w:numId w:val="17"/>
              </w:numPr>
              <w:tabs>
                <w:tab w:val="left" w:pos="301"/>
              </w:tabs>
              <w:ind w:left="18" w:hanging="12"/>
              <w:jc w:val="center"/>
              <w:rPr>
                <w:rFonts w:ascii="GHEA Grapalat" w:hAnsi="GHEA Grapalat"/>
                <w:color w:val="000000"/>
                <w:sz w:val="20"/>
                <w:szCs w:val="22"/>
                <w:shd w:val="clear" w:color="auto" w:fill="FFFFFF"/>
              </w:rPr>
            </w:pPr>
            <w:proofErr w:type="spellStart"/>
            <w:r w:rsidRPr="004642AD">
              <w:rPr>
                <w:rFonts w:ascii="GHEA Grapalat" w:hAnsi="GHEA Grapalat"/>
                <w:color w:val="000000"/>
                <w:sz w:val="20"/>
                <w:szCs w:val="22"/>
                <w:shd w:val="clear" w:color="auto" w:fill="FFFFFF"/>
              </w:rPr>
              <w:t>Պաշտպանության</w:t>
            </w:r>
            <w:proofErr w:type="spellEnd"/>
            <w:r w:rsidRPr="004642AD">
              <w:rPr>
                <w:rFonts w:ascii="GHEA Grapalat" w:hAnsi="GHEA Grapalat"/>
                <w:color w:val="000000"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4642AD">
              <w:rPr>
                <w:rFonts w:ascii="GHEA Grapalat" w:hAnsi="GHEA Grapalat"/>
                <w:color w:val="000000"/>
                <w:sz w:val="20"/>
                <w:szCs w:val="22"/>
                <w:shd w:val="clear" w:color="auto" w:fill="FFFFFF"/>
              </w:rPr>
              <w:t>նախարարություն</w:t>
            </w:r>
            <w:proofErr w:type="spellEnd"/>
          </w:p>
          <w:p w:rsidR="004642AD" w:rsidRDefault="004642AD" w:rsidP="004642AD">
            <w:pPr>
              <w:tabs>
                <w:tab w:val="left" w:pos="301"/>
              </w:tabs>
              <w:ind w:left="1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:rsidR="004642AD" w:rsidRPr="00A77B6A" w:rsidRDefault="00503A0B" w:rsidP="00CA3B04">
            <w:pPr>
              <w:tabs>
                <w:tab w:val="left" w:pos="176"/>
                <w:tab w:val="left" w:pos="317"/>
              </w:tabs>
              <w:rPr>
                <w:rFonts w:ascii="GHEA Grapalat" w:hAnsi="GHEA Grapalat"/>
                <w:sz w:val="20"/>
                <w:szCs w:val="16"/>
              </w:rPr>
            </w:pPr>
            <w:proofErr w:type="spellStart"/>
            <w:r w:rsidRPr="00A77B6A">
              <w:rPr>
                <w:rFonts w:ascii="GHEA Grapalat" w:hAnsi="GHEA Grapalat" w:cs="Sylfaen"/>
                <w:sz w:val="20"/>
                <w:szCs w:val="16"/>
              </w:rPr>
              <w:t>Քաղաքացիական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 w:cs="Sylfaen"/>
                <w:sz w:val="20"/>
                <w:szCs w:val="16"/>
              </w:rPr>
              <w:t>ավիացիայի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 w:cs="Sylfaen"/>
                <w:sz w:val="20"/>
                <w:szCs w:val="16"/>
              </w:rPr>
              <w:t>կոմիտեի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 w:cs="Sylfaen"/>
                <w:sz w:val="20"/>
                <w:szCs w:val="16"/>
              </w:rPr>
              <w:t>աշխատակիցը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հեռախոսազրույց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է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ունեցել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ՀՀ </w:t>
            </w:r>
            <w:r w:rsidRPr="00A77B6A">
              <w:rPr>
                <w:rFonts w:ascii="GHEA Grapalat" w:hAnsi="GHEA Grapalat"/>
                <w:sz w:val="20"/>
                <w:szCs w:val="16"/>
              </w:rPr>
              <w:t>ՊՆ</w:t>
            </w:r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Պաշտպանական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քաղաքականության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վարչության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միջազգային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պայմանագրաիրավական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ապահովման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բաժնի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գլխավոր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մասնագետ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A77B6A">
              <w:rPr>
                <w:rFonts w:ascii="GHEA Grapalat" w:hAnsi="GHEA Grapalat"/>
                <w:sz w:val="20"/>
                <w:szCs w:val="16"/>
              </w:rPr>
              <w:t xml:space="preserve">Հ.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Շահնազարյանի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հետ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(+37496390090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հեռախոսահամարով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),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ով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հայտնել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է,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որ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ՊՆ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չի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9D735A" w:rsidRPr="00A77B6A">
              <w:rPr>
                <w:rFonts w:ascii="GHEA Grapalat" w:hAnsi="GHEA Grapalat"/>
                <w:sz w:val="20"/>
                <w:szCs w:val="16"/>
              </w:rPr>
              <w:t>առարկում</w:t>
            </w:r>
            <w:proofErr w:type="spellEnd"/>
            <w:r w:rsidR="009D735A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Համաձայնագրի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հավելվածի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14-րդ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կետի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3-րդ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ենթակետի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մասով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(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տեքստը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կցվում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է): ՊՆ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գրավոր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դիրքորոշումը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կուղարկվի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Տրանսպորտի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,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կապի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և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տեղեկատվական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lastRenderedPageBreak/>
              <w:t>տեխնոլոգիաների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նախարարություն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>՝ ՊՆ-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ից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A77B6A">
              <w:rPr>
                <w:rFonts w:ascii="GHEA Grapalat" w:hAnsi="GHEA Grapalat"/>
                <w:sz w:val="20"/>
                <w:szCs w:val="16"/>
              </w:rPr>
              <w:t>այն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CB2725" w:rsidRPr="00A77B6A">
              <w:rPr>
                <w:rFonts w:ascii="GHEA Grapalat" w:hAnsi="GHEA Grapalat"/>
                <w:sz w:val="20"/>
                <w:szCs w:val="16"/>
              </w:rPr>
              <w:t>ստանալուն</w:t>
            </w:r>
            <w:proofErr w:type="spellEnd"/>
            <w:r w:rsidR="00CB2725" w:rsidRPr="00A77B6A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="00CB2725" w:rsidRPr="00A77B6A">
              <w:rPr>
                <w:rFonts w:ascii="GHEA Grapalat" w:hAnsi="GHEA Grapalat"/>
                <w:sz w:val="20"/>
                <w:szCs w:val="16"/>
              </w:rPr>
              <w:t>պես</w:t>
            </w:r>
            <w:proofErr w:type="spellEnd"/>
            <w:r w:rsidRPr="00A77B6A">
              <w:rPr>
                <w:rFonts w:ascii="GHEA Grapalat" w:hAnsi="GHEA Grapalat"/>
                <w:sz w:val="20"/>
                <w:szCs w:val="16"/>
              </w:rPr>
              <w:t xml:space="preserve">: </w:t>
            </w:r>
          </w:p>
          <w:p w:rsidR="00503A0B" w:rsidRPr="00A77B6A" w:rsidRDefault="00503A0B" w:rsidP="00503A0B">
            <w:pPr>
              <w:tabs>
                <w:tab w:val="left" w:pos="176"/>
                <w:tab w:val="left" w:pos="317"/>
              </w:tabs>
              <w:rPr>
                <w:rFonts w:ascii="GHEA Grapalat" w:hAnsi="GHEA Grapalat"/>
                <w:sz w:val="20"/>
                <w:szCs w:val="16"/>
                <w:lang w:val="pt-BR"/>
              </w:rPr>
            </w:pPr>
          </w:p>
          <w:p w:rsidR="00942DE9" w:rsidRPr="00A77B6A" w:rsidRDefault="00942DE9" w:rsidP="00942DE9">
            <w:pPr>
              <w:tabs>
                <w:tab w:val="left" w:pos="176"/>
                <w:tab w:val="left" w:pos="317"/>
              </w:tabs>
              <w:rPr>
                <w:rFonts w:ascii="GHEA Grapalat" w:hAnsi="GHEA Grapalat"/>
                <w:sz w:val="20"/>
                <w:szCs w:val="16"/>
                <w:lang w:val="pt-BR"/>
              </w:rPr>
            </w:pPr>
            <w:r w:rsidRPr="00A77B6A">
              <w:rPr>
                <w:rFonts w:ascii="GHEA Grapalat" w:hAnsi="GHEA Grapalat"/>
                <w:sz w:val="20"/>
                <w:szCs w:val="16"/>
                <w:lang w:val="pt-BR"/>
              </w:rPr>
              <w:t>ОГОВОРКА РЕСПУБЛИКИ АРМЕНИЯ</w:t>
            </w:r>
          </w:p>
          <w:p w:rsidR="00942DE9" w:rsidRPr="00A77B6A" w:rsidRDefault="00942DE9" w:rsidP="00942DE9">
            <w:pPr>
              <w:tabs>
                <w:tab w:val="left" w:pos="176"/>
                <w:tab w:val="left" w:pos="317"/>
              </w:tabs>
              <w:rPr>
                <w:rFonts w:ascii="GHEA Grapalat" w:hAnsi="GHEA Grapalat"/>
                <w:sz w:val="20"/>
                <w:szCs w:val="16"/>
                <w:lang w:val="pt-BR"/>
              </w:rPr>
            </w:pPr>
          </w:p>
          <w:p w:rsidR="00942DE9" w:rsidRPr="00A77B6A" w:rsidRDefault="00942DE9" w:rsidP="00942DE9">
            <w:pPr>
              <w:tabs>
                <w:tab w:val="left" w:pos="176"/>
                <w:tab w:val="left" w:pos="317"/>
              </w:tabs>
              <w:rPr>
                <w:rFonts w:ascii="GHEA Grapalat" w:hAnsi="GHEA Grapalat"/>
                <w:sz w:val="20"/>
                <w:szCs w:val="16"/>
                <w:lang w:val="pt-BR"/>
              </w:rPr>
            </w:pPr>
            <w:r w:rsidRPr="00A77B6A">
              <w:rPr>
                <w:rFonts w:ascii="GHEA Grapalat" w:hAnsi="GHEA Grapalat"/>
                <w:sz w:val="20"/>
                <w:szCs w:val="16"/>
                <w:lang w:val="pt-BR"/>
              </w:rPr>
              <w:t>К Соглашению О создании и функционировании Международного Бюро по вопросам расследования авиационных происшествий и серьезных инцидентов</w:t>
            </w:r>
          </w:p>
          <w:p w:rsidR="00942DE9" w:rsidRPr="00A77B6A" w:rsidRDefault="00942DE9" w:rsidP="00942DE9">
            <w:pPr>
              <w:tabs>
                <w:tab w:val="left" w:pos="176"/>
                <w:tab w:val="left" w:pos="317"/>
              </w:tabs>
              <w:rPr>
                <w:rFonts w:ascii="GHEA Grapalat" w:hAnsi="GHEA Grapalat"/>
                <w:sz w:val="20"/>
                <w:szCs w:val="16"/>
                <w:lang w:val="pt-BR"/>
              </w:rPr>
            </w:pPr>
          </w:p>
          <w:p w:rsidR="00942DE9" w:rsidRPr="00503A0B" w:rsidRDefault="00942DE9" w:rsidP="00942DE9">
            <w:pPr>
              <w:tabs>
                <w:tab w:val="left" w:pos="176"/>
                <w:tab w:val="left" w:pos="317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77B6A">
              <w:rPr>
                <w:rFonts w:ascii="GHEA Grapalat" w:hAnsi="GHEA Grapalat"/>
                <w:sz w:val="20"/>
                <w:szCs w:val="16"/>
                <w:lang w:val="pt-BR"/>
              </w:rPr>
              <w:t xml:space="preserve">Республика Армения заявляет, что подпункт 3 пункта 14 Приложения (Положение о социальных гарантиях, привилегиях и неприкасаемости Бюро, Председателя Бюро и сотрудников Бюро) к Соглашению О создании и функционировании Международного Бюро по вопросам расследования авиационных происшествий и серьезных инцидентов, не будет применятЬся к гражданам Республики Армения.  </w:t>
            </w:r>
          </w:p>
        </w:tc>
        <w:tc>
          <w:tcPr>
            <w:tcW w:w="2893" w:type="dxa"/>
          </w:tcPr>
          <w:p w:rsidR="00DC5F93" w:rsidRPr="00A77B6A" w:rsidRDefault="00DC5F93" w:rsidP="001619CC">
            <w:pPr>
              <w:tabs>
                <w:tab w:val="left" w:pos="3885"/>
                <w:tab w:val="center" w:pos="4678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7B6A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66" w:type="dxa"/>
          </w:tcPr>
          <w:p w:rsidR="00301108" w:rsidRPr="00A77B6A" w:rsidRDefault="00301108" w:rsidP="001619C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862E5" w:rsidRPr="00784D07" w:rsidRDefault="000862E5" w:rsidP="000862E5">
      <w:pPr>
        <w:rPr>
          <w:rFonts w:ascii="GHEA Grapalat" w:hAnsi="GHEA Grapalat"/>
          <w:sz w:val="20"/>
          <w:szCs w:val="20"/>
          <w:lang w:val="af-ZA"/>
        </w:rPr>
      </w:pPr>
    </w:p>
    <w:p w:rsidR="000862E5" w:rsidRPr="00784D07" w:rsidRDefault="000862E5" w:rsidP="000862E5">
      <w:pPr>
        <w:rPr>
          <w:rFonts w:ascii="GHEA Grapalat" w:hAnsi="GHEA Grapalat"/>
          <w:sz w:val="20"/>
          <w:szCs w:val="20"/>
          <w:lang w:val="af-ZA"/>
        </w:rPr>
      </w:pPr>
    </w:p>
    <w:p w:rsidR="000862E5" w:rsidRPr="006650B9" w:rsidRDefault="000862E5" w:rsidP="000862E5">
      <w:pPr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en-US"/>
        </w:rPr>
        <w:t>ՔԱՂԱՔԱՑԻԱԿԱՆ</w:t>
      </w:r>
      <w:r w:rsidRPr="006650B9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ԱՎԻԱՑԻԱՅԻ</w:t>
      </w:r>
    </w:p>
    <w:p w:rsidR="000862E5" w:rsidRPr="00784D07" w:rsidRDefault="000862E5" w:rsidP="00082428">
      <w:pPr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en-US"/>
        </w:rPr>
        <w:t>ԿՈՄԻՏԵԻ</w:t>
      </w:r>
      <w:r w:rsidRPr="006650B9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ՆԱԽԱԳԱՀ</w:t>
      </w:r>
      <w:r w:rsidR="00451F0E" w:rsidRPr="009D735A">
        <w:rPr>
          <w:rFonts w:ascii="GHEA Grapalat" w:hAnsi="GHEA Grapalat" w:cs="Tahoma"/>
          <w:lang w:val="af-ZA"/>
        </w:rPr>
        <w:tab/>
      </w:r>
      <w:r w:rsidR="00451F0E" w:rsidRPr="009D735A">
        <w:rPr>
          <w:rFonts w:ascii="GHEA Grapalat" w:hAnsi="GHEA Grapalat" w:cs="Tahoma"/>
          <w:lang w:val="af-ZA"/>
        </w:rPr>
        <w:tab/>
      </w:r>
      <w:r w:rsidR="00451F0E" w:rsidRPr="009D735A">
        <w:rPr>
          <w:rFonts w:ascii="GHEA Grapalat" w:hAnsi="GHEA Grapalat" w:cs="Tahoma"/>
          <w:lang w:val="af-ZA"/>
        </w:rPr>
        <w:tab/>
      </w:r>
      <w:r w:rsidRPr="006650B9">
        <w:rPr>
          <w:rFonts w:ascii="GHEA Grapalat" w:hAnsi="GHEA Grapalat" w:cs="Tahoma"/>
          <w:lang w:val="af-ZA"/>
        </w:rPr>
        <w:tab/>
      </w:r>
      <w:r w:rsidRPr="006650B9">
        <w:rPr>
          <w:rFonts w:ascii="GHEA Grapalat" w:hAnsi="GHEA Grapalat" w:cs="Tahoma"/>
          <w:lang w:val="af-ZA"/>
        </w:rPr>
        <w:tab/>
      </w:r>
      <w:r w:rsidRPr="006650B9">
        <w:rPr>
          <w:rFonts w:ascii="GHEA Grapalat" w:hAnsi="GHEA Grapalat" w:cs="Tahoma"/>
          <w:lang w:val="af-ZA"/>
        </w:rPr>
        <w:tab/>
      </w:r>
      <w:r>
        <w:rPr>
          <w:rFonts w:ascii="GHEA Grapalat" w:hAnsi="GHEA Grapalat" w:cs="Tahoma"/>
          <w:lang w:val="en-US"/>
        </w:rPr>
        <w:t>ՏԱԹԵՎԻԿ</w:t>
      </w:r>
      <w:r w:rsidRPr="00074542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ՌԵՎԱԶՅԱՆ</w:t>
      </w:r>
      <w:r w:rsidRPr="00784D07">
        <w:rPr>
          <w:rFonts w:ascii="GHEA Grapalat" w:hAnsi="GHEA Grapalat" w:cs="Tahoma"/>
          <w:lang w:val="af-ZA"/>
        </w:rPr>
        <w:t xml:space="preserve">                               </w:t>
      </w:r>
    </w:p>
    <w:sectPr w:rsidR="000862E5" w:rsidRPr="00784D07" w:rsidSect="007F3AB0">
      <w:pgSz w:w="12240" w:h="15840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87C"/>
    <w:multiLevelType w:val="hybridMultilevel"/>
    <w:tmpl w:val="185A9DA6"/>
    <w:lvl w:ilvl="0" w:tplc="04190011">
      <w:start w:val="1"/>
      <w:numFmt w:val="decimal"/>
      <w:lvlText w:val="%1)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1">
    <w:nsid w:val="073D5AC2"/>
    <w:multiLevelType w:val="multilevel"/>
    <w:tmpl w:val="9AC629C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">
    <w:nsid w:val="09BE7C38"/>
    <w:multiLevelType w:val="hybridMultilevel"/>
    <w:tmpl w:val="ECD43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585E"/>
    <w:multiLevelType w:val="hybridMultilevel"/>
    <w:tmpl w:val="820CA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3BF4"/>
    <w:multiLevelType w:val="hybridMultilevel"/>
    <w:tmpl w:val="9250A940"/>
    <w:lvl w:ilvl="0" w:tplc="66D67F5C">
      <w:start w:val="11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A084E3D"/>
    <w:multiLevelType w:val="hybridMultilevel"/>
    <w:tmpl w:val="8182C9DE"/>
    <w:lvl w:ilvl="0" w:tplc="FE6877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6">
    <w:nsid w:val="1CF524A8"/>
    <w:multiLevelType w:val="hybridMultilevel"/>
    <w:tmpl w:val="D4B23D74"/>
    <w:lvl w:ilvl="0" w:tplc="564AD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7">
    <w:nsid w:val="26DD138E"/>
    <w:multiLevelType w:val="hybridMultilevel"/>
    <w:tmpl w:val="DA5A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12B39"/>
    <w:multiLevelType w:val="multilevel"/>
    <w:tmpl w:val="352A1758"/>
    <w:lvl w:ilvl="0">
      <w:start w:val="1"/>
      <w:numFmt w:val="decimal"/>
      <w:lvlText w:val="%1)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9">
    <w:nsid w:val="32DD08F1"/>
    <w:multiLevelType w:val="hybridMultilevel"/>
    <w:tmpl w:val="3E8E4772"/>
    <w:lvl w:ilvl="0" w:tplc="2A30BE7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3C6B1736"/>
    <w:multiLevelType w:val="hybridMultilevel"/>
    <w:tmpl w:val="EBC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F7C88"/>
    <w:multiLevelType w:val="hybridMultilevel"/>
    <w:tmpl w:val="9CA85978"/>
    <w:lvl w:ilvl="0" w:tplc="F44811A8">
      <w:start w:val="1"/>
      <w:numFmt w:val="bullet"/>
      <w:lvlText w:val="-"/>
      <w:lvlJc w:val="left"/>
      <w:pPr>
        <w:ind w:left="1777" w:hanging="360"/>
      </w:pPr>
      <w:rPr>
        <w:rFonts w:ascii="GHEA Grapalat" w:eastAsia="Calibr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2">
    <w:nsid w:val="4AA0267B"/>
    <w:multiLevelType w:val="hybridMultilevel"/>
    <w:tmpl w:val="EB223ACA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4CCB5F6C"/>
    <w:multiLevelType w:val="hybridMultilevel"/>
    <w:tmpl w:val="3E8E4772"/>
    <w:lvl w:ilvl="0" w:tplc="2A30BE7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51B0239B"/>
    <w:multiLevelType w:val="hybridMultilevel"/>
    <w:tmpl w:val="7A84B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1506A"/>
    <w:multiLevelType w:val="hybridMultilevel"/>
    <w:tmpl w:val="C644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D64CE"/>
    <w:multiLevelType w:val="multilevel"/>
    <w:tmpl w:val="8182C9D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17">
    <w:nsid w:val="66B73460"/>
    <w:multiLevelType w:val="hybridMultilevel"/>
    <w:tmpl w:val="21D69B64"/>
    <w:lvl w:ilvl="0" w:tplc="040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78A22FE1"/>
    <w:multiLevelType w:val="hybridMultilevel"/>
    <w:tmpl w:val="2538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C0135"/>
    <w:multiLevelType w:val="hybridMultilevel"/>
    <w:tmpl w:val="E1760894"/>
    <w:lvl w:ilvl="0" w:tplc="2C9CE466">
      <w:start w:val="1"/>
      <w:numFmt w:val="decimal"/>
      <w:lvlText w:val="%1."/>
      <w:lvlJc w:val="left"/>
      <w:pPr>
        <w:ind w:left="768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6"/>
  </w:num>
  <w:num w:numId="7">
    <w:abstractNumId w:val="18"/>
  </w:num>
  <w:num w:numId="8">
    <w:abstractNumId w:val="17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7"/>
  </w:num>
  <w:num w:numId="14">
    <w:abstractNumId w:val="10"/>
  </w:num>
  <w:num w:numId="15">
    <w:abstractNumId w:val="2"/>
  </w:num>
  <w:num w:numId="16">
    <w:abstractNumId w:val="13"/>
  </w:num>
  <w:num w:numId="17">
    <w:abstractNumId w:val="19"/>
  </w:num>
  <w:num w:numId="18">
    <w:abstractNumId w:val="9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8C"/>
    <w:rsid w:val="0000317C"/>
    <w:rsid w:val="00057D23"/>
    <w:rsid w:val="000646DD"/>
    <w:rsid w:val="00082428"/>
    <w:rsid w:val="000862E5"/>
    <w:rsid w:val="000F29F6"/>
    <w:rsid w:val="001C6524"/>
    <w:rsid w:val="002E7243"/>
    <w:rsid w:val="00301108"/>
    <w:rsid w:val="00364A9A"/>
    <w:rsid w:val="003B130A"/>
    <w:rsid w:val="00407C03"/>
    <w:rsid w:val="00451F0E"/>
    <w:rsid w:val="004642AD"/>
    <w:rsid w:val="0047376C"/>
    <w:rsid w:val="004926E7"/>
    <w:rsid w:val="00503A0B"/>
    <w:rsid w:val="005222FB"/>
    <w:rsid w:val="00587BF5"/>
    <w:rsid w:val="005B21CA"/>
    <w:rsid w:val="005D33F5"/>
    <w:rsid w:val="005D5EAC"/>
    <w:rsid w:val="006B246D"/>
    <w:rsid w:val="006F4F3E"/>
    <w:rsid w:val="0076179F"/>
    <w:rsid w:val="007B5F30"/>
    <w:rsid w:val="007F3AB0"/>
    <w:rsid w:val="00843F72"/>
    <w:rsid w:val="008E02F7"/>
    <w:rsid w:val="008F3EC5"/>
    <w:rsid w:val="00942DE9"/>
    <w:rsid w:val="009D735A"/>
    <w:rsid w:val="00A77B6A"/>
    <w:rsid w:val="00AF748C"/>
    <w:rsid w:val="00B53D5D"/>
    <w:rsid w:val="00C632AA"/>
    <w:rsid w:val="00C91637"/>
    <w:rsid w:val="00CA3B04"/>
    <w:rsid w:val="00CB2725"/>
    <w:rsid w:val="00D31D6A"/>
    <w:rsid w:val="00D70417"/>
    <w:rsid w:val="00DA2209"/>
    <w:rsid w:val="00DC5F93"/>
    <w:rsid w:val="00DE2E04"/>
    <w:rsid w:val="00E419FF"/>
    <w:rsid w:val="00EB6EA0"/>
    <w:rsid w:val="00ED6E3C"/>
    <w:rsid w:val="00F1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E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862E5"/>
    <w:pPr>
      <w:keepNext/>
      <w:ind w:right="630"/>
      <w:jc w:val="center"/>
      <w:outlineLvl w:val="2"/>
    </w:pPr>
    <w:rPr>
      <w:sz w:val="30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62E5"/>
    <w:rPr>
      <w:rFonts w:ascii="Times Armenian" w:eastAsia="Times New Roman" w:hAnsi="Times Armenian" w:cs="Times New Roman"/>
      <w:sz w:val="30"/>
      <w:szCs w:val="20"/>
      <w:lang w:val="en-GB" w:eastAsia="x-none"/>
    </w:rPr>
  </w:style>
  <w:style w:type="table" w:styleId="a3">
    <w:name w:val="Table Grid"/>
    <w:basedOn w:val="a1"/>
    <w:rsid w:val="00086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862E5"/>
    <w:rPr>
      <w:color w:val="0000FF"/>
      <w:u w:val="single"/>
    </w:rPr>
  </w:style>
  <w:style w:type="paragraph" w:styleId="a5">
    <w:name w:val="Body Text"/>
    <w:basedOn w:val="a"/>
    <w:link w:val="a6"/>
    <w:rsid w:val="000862E5"/>
    <w:pPr>
      <w:spacing w:after="120"/>
    </w:pPr>
    <w:rPr>
      <w:rFonts w:ascii="Times New Roman" w:hAnsi="Times New Roman"/>
      <w:lang w:val="en-US" w:eastAsia="en-US"/>
    </w:rPr>
  </w:style>
  <w:style w:type="character" w:customStyle="1" w:styleId="a6">
    <w:name w:val="Основной текст Знак"/>
    <w:basedOn w:val="a0"/>
    <w:link w:val="a5"/>
    <w:rsid w:val="000862E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0862E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FontStyle19">
    <w:name w:val="Font Style19"/>
    <w:rsid w:val="000862E5"/>
    <w:rPr>
      <w:rFonts w:ascii="Sylfaen" w:hAnsi="Sylfaen" w:cs="Sylfaen"/>
      <w:color w:val="000000"/>
      <w:spacing w:val="1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862E5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862E5"/>
    <w:rPr>
      <w:rFonts w:ascii="Calibri" w:eastAsia="Calibri" w:hAnsi="Calibri" w:cs="Times New Roman"/>
    </w:rPr>
  </w:style>
  <w:style w:type="character" w:styleId="aa">
    <w:name w:val="Strong"/>
    <w:qFormat/>
    <w:rsid w:val="000862E5"/>
    <w:rPr>
      <w:b/>
      <w:bCs/>
    </w:rPr>
  </w:style>
  <w:style w:type="character" w:customStyle="1" w:styleId="apple-converted-space">
    <w:name w:val="apple-converted-space"/>
    <w:basedOn w:val="a0"/>
    <w:rsid w:val="000862E5"/>
  </w:style>
  <w:style w:type="paragraph" w:customStyle="1" w:styleId="1">
    <w:name w:val="Абзац списка1"/>
    <w:basedOn w:val="a"/>
    <w:qFormat/>
    <w:rsid w:val="000862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b">
    <w:name w:val="Emphasis"/>
    <w:qFormat/>
    <w:rsid w:val="000862E5"/>
    <w:rPr>
      <w:i/>
      <w:iCs/>
    </w:rPr>
  </w:style>
  <w:style w:type="paragraph" w:customStyle="1" w:styleId="norm">
    <w:name w:val="norm"/>
    <w:basedOn w:val="a"/>
    <w:link w:val="normChar"/>
    <w:rsid w:val="000862E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 w:eastAsia="x-none"/>
    </w:rPr>
  </w:style>
  <w:style w:type="character" w:customStyle="1" w:styleId="normChar">
    <w:name w:val="norm Char"/>
    <w:link w:val="norm"/>
    <w:locked/>
    <w:rsid w:val="000862E5"/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mechtexChar">
    <w:name w:val="mechtex Char"/>
    <w:link w:val="mechtex"/>
    <w:locked/>
    <w:rsid w:val="000862E5"/>
    <w:rPr>
      <w:rFonts w:ascii="Arial Armenian" w:hAnsi="Arial Armenian"/>
      <w:szCs w:val="24"/>
    </w:rPr>
  </w:style>
  <w:style w:type="paragraph" w:customStyle="1" w:styleId="mechtex">
    <w:name w:val="mechtex"/>
    <w:basedOn w:val="a"/>
    <w:link w:val="mechtexChar"/>
    <w:rsid w:val="000862E5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paragraph" w:styleId="ac">
    <w:name w:val="List Paragraph"/>
    <w:basedOn w:val="a"/>
    <w:uiPriority w:val="34"/>
    <w:qFormat/>
    <w:rsid w:val="000862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4">
    <w:name w:val="Основной текст (14)_"/>
    <w:link w:val="140"/>
    <w:uiPriority w:val="99"/>
    <w:locked/>
    <w:rsid w:val="000862E5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0862E5"/>
    <w:pPr>
      <w:widowControl w:val="0"/>
      <w:shd w:val="clear" w:color="auto" w:fill="FFFFFF"/>
      <w:spacing w:after="420" w:line="240" w:lineRule="atLeast"/>
      <w:jc w:val="center"/>
    </w:pPr>
    <w:rPr>
      <w:rFonts w:ascii="Arial" w:eastAsiaTheme="minorHAnsi" w:hAnsi="Arial" w:cs="Arial"/>
      <w:b/>
      <w:bCs/>
      <w:sz w:val="28"/>
      <w:szCs w:val="28"/>
      <w:lang w:val="en-US" w:eastAsia="en-US"/>
    </w:rPr>
  </w:style>
  <w:style w:type="paragraph" w:styleId="ad">
    <w:name w:val="annotation text"/>
    <w:basedOn w:val="a"/>
    <w:link w:val="ae"/>
    <w:uiPriority w:val="99"/>
    <w:unhideWhenUsed/>
    <w:rsid w:val="000862E5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862E5"/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E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862E5"/>
    <w:pPr>
      <w:keepNext/>
      <w:ind w:right="630"/>
      <w:jc w:val="center"/>
      <w:outlineLvl w:val="2"/>
    </w:pPr>
    <w:rPr>
      <w:sz w:val="30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62E5"/>
    <w:rPr>
      <w:rFonts w:ascii="Times Armenian" w:eastAsia="Times New Roman" w:hAnsi="Times Armenian" w:cs="Times New Roman"/>
      <w:sz w:val="30"/>
      <w:szCs w:val="20"/>
      <w:lang w:val="en-GB" w:eastAsia="x-none"/>
    </w:rPr>
  </w:style>
  <w:style w:type="table" w:styleId="a3">
    <w:name w:val="Table Grid"/>
    <w:basedOn w:val="a1"/>
    <w:rsid w:val="00086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862E5"/>
    <w:rPr>
      <w:color w:val="0000FF"/>
      <w:u w:val="single"/>
    </w:rPr>
  </w:style>
  <w:style w:type="paragraph" w:styleId="a5">
    <w:name w:val="Body Text"/>
    <w:basedOn w:val="a"/>
    <w:link w:val="a6"/>
    <w:rsid w:val="000862E5"/>
    <w:pPr>
      <w:spacing w:after="120"/>
    </w:pPr>
    <w:rPr>
      <w:rFonts w:ascii="Times New Roman" w:hAnsi="Times New Roman"/>
      <w:lang w:val="en-US" w:eastAsia="en-US"/>
    </w:rPr>
  </w:style>
  <w:style w:type="character" w:customStyle="1" w:styleId="a6">
    <w:name w:val="Основной текст Знак"/>
    <w:basedOn w:val="a0"/>
    <w:link w:val="a5"/>
    <w:rsid w:val="000862E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0862E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FontStyle19">
    <w:name w:val="Font Style19"/>
    <w:rsid w:val="000862E5"/>
    <w:rPr>
      <w:rFonts w:ascii="Sylfaen" w:hAnsi="Sylfaen" w:cs="Sylfaen"/>
      <w:color w:val="000000"/>
      <w:spacing w:val="1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862E5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862E5"/>
    <w:rPr>
      <w:rFonts w:ascii="Calibri" w:eastAsia="Calibri" w:hAnsi="Calibri" w:cs="Times New Roman"/>
    </w:rPr>
  </w:style>
  <w:style w:type="character" w:styleId="aa">
    <w:name w:val="Strong"/>
    <w:qFormat/>
    <w:rsid w:val="000862E5"/>
    <w:rPr>
      <w:b/>
      <w:bCs/>
    </w:rPr>
  </w:style>
  <w:style w:type="character" w:customStyle="1" w:styleId="apple-converted-space">
    <w:name w:val="apple-converted-space"/>
    <w:basedOn w:val="a0"/>
    <w:rsid w:val="000862E5"/>
  </w:style>
  <w:style w:type="paragraph" w:customStyle="1" w:styleId="1">
    <w:name w:val="Абзац списка1"/>
    <w:basedOn w:val="a"/>
    <w:qFormat/>
    <w:rsid w:val="000862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b">
    <w:name w:val="Emphasis"/>
    <w:qFormat/>
    <w:rsid w:val="000862E5"/>
    <w:rPr>
      <w:i/>
      <w:iCs/>
    </w:rPr>
  </w:style>
  <w:style w:type="paragraph" w:customStyle="1" w:styleId="norm">
    <w:name w:val="norm"/>
    <w:basedOn w:val="a"/>
    <w:link w:val="normChar"/>
    <w:rsid w:val="000862E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 w:eastAsia="x-none"/>
    </w:rPr>
  </w:style>
  <w:style w:type="character" w:customStyle="1" w:styleId="normChar">
    <w:name w:val="norm Char"/>
    <w:link w:val="norm"/>
    <w:locked/>
    <w:rsid w:val="000862E5"/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mechtexChar">
    <w:name w:val="mechtex Char"/>
    <w:link w:val="mechtex"/>
    <w:locked/>
    <w:rsid w:val="000862E5"/>
    <w:rPr>
      <w:rFonts w:ascii="Arial Armenian" w:hAnsi="Arial Armenian"/>
      <w:szCs w:val="24"/>
    </w:rPr>
  </w:style>
  <w:style w:type="paragraph" w:customStyle="1" w:styleId="mechtex">
    <w:name w:val="mechtex"/>
    <w:basedOn w:val="a"/>
    <w:link w:val="mechtexChar"/>
    <w:rsid w:val="000862E5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paragraph" w:styleId="ac">
    <w:name w:val="List Paragraph"/>
    <w:basedOn w:val="a"/>
    <w:uiPriority w:val="34"/>
    <w:qFormat/>
    <w:rsid w:val="000862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4">
    <w:name w:val="Основной текст (14)_"/>
    <w:link w:val="140"/>
    <w:uiPriority w:val="99"/>
    <w:locked/>
    <w:rsid w:val="000862E5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0862E5"/>
    <w:pPr>
      <w:widowControl w:val="0"/>
      <w:shd w:val="clear" w:color="auto" w:fill="FFFFFF"/>
      <w:spacing w:after="420" w:line="240" w:lineRule="atLeast"/>
      <w:jc w:val="center"/>
    </w:pPr>
    <w:rPr>
      <w:rFonts w:ascii="Arial" w:eastAsiaTheme="minorHAnsi" w:hAnsi="Arial" w:cs="Arial"/>
      <w:b/>
      <w:bCs/>
      <w:sz w:val="28"/>
      <w:szCs w:val="28"/>
      <w:lang w:val="en-US" w:eastAsia="en-US"/>
    </w:rPr>
  </w:style>
  <w:style w:type="paragraph" w:styleId="ad">
    <w:name w:val="annotation text"/>
    <w:basedOn w:val="a"/>
    <w:link w:val="ae"/>
    <w:uiPriority w:val="99"/>
    <w:unhideWhenUsed/>
    <w:rsid w:val="000862E5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862E5"/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1548</Words>
  <Characters>8830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https://mul.gov.am/tasks/docs/attachment.php?id=487813&amp;fn=8.Ampopatert.docx&amp;out=1&amp;token=bae628b61ae08cbc1863</cp:keywords>
</cp:coreProperties>
</file>