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80" w:rsidRDefault="00255880" w:rsidP="00255880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Տ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Ե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Ղ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Ե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Կ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Ա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Ն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Ք</w:t>
      </w:r>
      <w:r>
        <w:rPr>
          <w:rFonts w:ascii="GHEA Grapalat" w:hAnsi="GHEA Grapalat" w:cs="Arial LatArm"/>
          <w:b/>
          <w:szCs w:val="24"/>
          <w:lang w:val="af-ZA"/>
        </w:rPr>
        <w:t xml:space="preserve"> – </w:t>
      </w:r>
      <w:r>
        <w:rPr>
          <w:rFonts w:ascii="GHEA Grapalat" w:hAnsi="GHEA Grapalat" w:cs="Sylfaen"/>
          <w:b/>
          <w:szCs w:val="24"/>
          <w:lang w:val="af-ZA"/>
        </w:rPr>
        <w:t>Հ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Ի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Ն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Ա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Վ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Ո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Ր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ՈՒ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</w:t>
      </w:r>
    </w:p>
    <w:p w:rsidR="00255880" w:rsidRDefault="00255880" w:rsidP="00255880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GHEA Grapalat"/>
          <w:b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 xml:space="preserve">Հայաստանի Հանրապետության և Էրստե բանկի միջև </w:t>
      </w:r>
      <w:r>
        <w:rPr>
          <w:rFonts w:ascii="GHEA Grapalat" w:hAnsi="GHEA Grapalat" w:cs="GHEA Grapalat"/>
          <w:b/>
          <w:lang w:val="hy-AM"/>
        </w:rPr>
        <w:t>«Գաբրիել Սունդուկյանի անվան ազգային ակադեմիական թատրոնի վերանորոգման» ծրագրի իրականացման նպատակով արտոնյալ պայմաններով վարկային համաձայնագրի»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նախագծին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հավանություն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տալու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մասին</w:t>
      </w:r>
      <w:r>
        <w:rPr>
          <w:rFonts w:ascii="GHEA Grapalat" w:hAnsi="GHEA Grapalat"/>
          <w:b/>
          <w:lang w:val="af-ZA"/>
        </w:rPr>
        <w:t xml:space="preserve">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արձանագրային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որոշման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նախագծի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վերաբերյալ</w:t>
      </w:r>
    </w:p>
    <w:p w:rsidR="00255880" w:rsidRDefault="00255880" w:rsidP="00255880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55880" w:rsidRDefault="00255880" w:rsidP="00255880">
      <w:pPr>
        <w:tabs>
          <w:tab w:val="left" w:pos="108"/>
        </w:tabs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>2014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 w:cs="Sylfaen"/>
        </w:rPr>
        <w:t>հունիսի</w:t>
      </w:r>
      <w:r>
        <w:rPr>
          <w:rFonts w:ascii="GHEA Grapalat" w:hAnsi="GHEA Grapalat"/>
          <w:lang w:val="af-ZA"/>
        </w:rPr>
        <w:t xml:space="preserve"> 29-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Երևանում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կայացած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Գիտատեխնիկական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առևտրատնտեսական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հարցերով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հայ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 w:cs="Sylfaen"/>
        </w:rPr>
        <w:t>ավստրիական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միջկառավարական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խառը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հանձնաժողովի</w:t>
      </w:r>
      <w:r>
        <w:rPr>
          <w:rFonts w:ascii="GHEA Grapalat" w:hAnsi="GHEA Grapalat"/>
          <w:lang w:val="af-ZA"/>
        </w:rPr>
        <w:t xml:space="preserve"> 6-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նիստի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արձանագրության</w:t>
      </w:r>
      <w:r>
        <w:rPr>
          <w:rFonts w:ascii="GHEA Grapalat" w:hAnsi="GHEA Grapalat"/>
          <w:lang w:val="af-ZA"/>
        </w:rPr>
        <w:t xml:space="preserve"> 4.6 </w:t>
      </w:r>
      <w:r>
        <w:rPr>
          <w:rFonts w:ascii="GHEA Grapalat" w:hAnsi="GHEA Grapalat" w:cs="Sylfaen"/>
        </w:rPr>
        <w:t>բաժնում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կողմերը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իրենց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պատրաստակամությունն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հայտնել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մշակույթի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ոլորտում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հետագա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համագործակցության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/>
          <w:lang w:val="af-ZA"/>
        </w:rPr>
        <w:t xml:space="preserve"> 4.1 </w:t>
      </w:r>
      <w:r>
        <w:rPr>
          <w:rFonts w:ascii="GHEA Grapalat" w:hAnsi="GHEA Grapalat" w:cs="Sylfaen"/>
        </w:rPr>
        <w:t>բաժնում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Ավստրիական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զարգացման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բանկի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աջակցությամբ ամրագրվել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արտոնյալ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պայմաններով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վարկավորման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հնարավորությունը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վերոնշյալ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համագործակցության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իրականացման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/>
          <w:lang w:val="af-ZA"/>
        </w:rPr>
        <w:t>:</w:t>
      </w:r>
    </w:p>
    <w:p w:rsidR="00255880" w:rsidRDefault="00255880" w:rsidP="00255880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Այս համատեքստում Գաբրիել Սունդուկյանի անվան ազգային ակադեմիական թատրոնի վերանորոգման նպատակով ՀՀ մշակույթի նախարարության և ավստրիական Վաագներ-Բիրո կոնսորցիումի միջև նախատեսվում է կնքել 7  մլն եվրոյի ապրանքների և ծառայությունների մատուցման կապալի պայմանագիր: Կապալի պայմանագրի ֆինանսավորման նպատակով նախատեսվում է ավստրիական Էրստե բանկից ներգրավել 7 մլն եվրո արտոնյալ վարկային միջոցներ: </w:t>
      </w:r>
    </w:p>
    <w:p w:rsidR="00255880" w:rsidRDefault="00255880" w:rsidP="00255880">
      <w:pPr>
        <w:spacing w:line="360" w:lineRule="auto"/>
        <w:jc w:val="both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ab/>
        <w:t xml:space="preserve">Նախատեսվող 7 մլն եվրո արտոնյալ վարկային միջոցները կտրամադրվեն 23 տարի մարման ժամկետով, որից 6.5 տարին` արտոնյալ, տոկոսադրույքը կկազմի </w:t>
      </w:r>
      <w:r>
        <w:rPr>
          <w:rFonts w:ascii="GHEA Grapalat" w:hAnsi="GHEA Grapalat" w:cs="GHEA Grapalat"/>
          <w:lang w:val="af-ZA"/>
        </w:rPr>
        <w:t xml:space="preserve">0%, 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fi-FI"/>
        </w:rPr>
        <w:t xml:space="preserve">ժամկետանց վճարումների նկատմամբ </w:t>
      </w:r>
      <w:r>
        <w:rPr>
          <w:rFonts w:ascii="GHEA Grapalat" w:hAnsi="GHEA Grapalat" w:cs="Sylfaen"/>
          <w:lang w:val="fi-FI"/>
        </w:rPr>
        <w:t xml:space="preserve">տույժը` տարեկան 2%, </w:t>
      </w:r>
      <w:r>
        <w:rPr>
          <w:rFonts w:ascii="GHEA Grapalat" w:hAnsi="GHEA Grapalat" w:cs="GHEA Grapalat"/>
          <w:lang w:val="af-ZA"/>
        </w:rPr>
        <w:t xml:space="preserve">պարտավճարը` 0.55%, կառավարման միանվագ վճարը կկազմի 0.6% (42.000 եվրո), </w:t>
      </w:r>
      <w:r>
        <w:rPr>
          <w:rFonts w:ascii="GHEA Grapalat" w:hAnsi="GHEA Grapalat" w:cs="GHEA Grapalat"/>
        </w:rPr>
        <w:t>երաշխիքային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վճարը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կկազմի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տարեկան</w:t>
      </w:r>
      <w:r>
        <w:rPr>
          <w:rFonts w:ascii="GHEA Grapalat" w:hAnsi="GHEA Grapalat" w:cs="GHEA Grapalat"/>
          <w:lang w:val="af-ZA"/>
        </w:rPr>
        <w:t xml:space="preserve"> 1%,</w:t>
      </w:r>
      <w:r>
        <w:rPr>
          <w:rFonts w:ascii="GHEA Grapalat" w:hAnsi="GHEA Grapalat" w:cs="Sylfaen"/>
          <w:lang w:val="af-ZA"/>
        </w:rPr>
        <w:t xml:space="preserve"> վարկի արտոնյալության աստիճանը (Grant Element)` հաշվարկված ներկայումս գործող ԱՄՀ-ի մեթոդաբանությամբ, </w:t>
      </w:r>
      <w:r>
        <w:rPr>
          <w:rFonts w:ascii="GHEA Grapalat" w:hAnsi="GHEA Grapalat"/>
        </w:rPr>
        <w:t>կկազմի</w:t>
      </w:r>
      <w:r>
        <w:rPr>
          <w:rFonts w:ascii="GHEA Grapalat" w:hAnsi="GHEA Grapalat"/>
          <w:lang w:val="fi-FI"/>
        </w:rPr>
        <w:t xml:space="preserve"> 41.4%:</w:t>
      </w:r>
    </w:p>
    <w:p w:rsidR="00255880" w:rsidRDefault="00255880" w:rsidP="00255880">
      <w:pPr>
        <w:tabs>
          <w:tab w:val="left" w:pos="108"/>
        </w:tabs>
        <w:spacing w:line="360" w:lineRule="auto"/>
        <w:jc w:val="both"/>
        <w:rPr>
          <w:rFonts w:ascii="GHEA Grapalat" w:hAnsi="GHEA Grapalat"/>
          <w:lang w:val="af-ZA"/>
        </w:rPr>
      </w:pPr>
    </w:p>
    <w:p w:rsidR="00255880" w:rsidRDefault="00255880" w:rsidP="00255880">
      <w:pPr>
        <w:jc w:val="right"/>
        <w:rPr>
          <w:rFonts w:ascii="GHEA Grapalat" w:hAnsi="GHEA Grapalat" w:cs="Sylfaen"/>
          <w:b/>
          <w:lang w:val="af-ZA"/>
        </w:rPr>
      </w:pPr>
    </w:p>
    <w:p w:rsidR="00255880" w:rsidRDefault="00255880" w:rsidP="00255880">
      <w:pPr>
        <w:jc w:val="right"/>
        <w:rPr>
          <w:rFonts w:ascii="GHEA Grapalat" w:hAnsi="GHEA Grapalat" w:cs="Sylfaen"/>
          <w:b/>
          <w:lang w:val="af-ZA"/>
        </w:rPr>
      </w:pPr>
    </w:p>
    <w:p w:rsidR="00255880" w:rsidRDefault="00255880" w:rsidP="00255880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ՀՀ ֆինանսների նախարարություն</w:t>
      </w:r>
    </w:p>
    <w:p w:rsidR="00255880" w:rsidRDefault="00255880" w:rsidP="00255880">
      <w:pPr>
        <w:tabs>
          <w:tab w:val="left" w:pos="108"/>
        </w:tabs>
        <w:spacing w:line="360" w:lineRule="auto"/>
        <w:rPr>
          <w:rFonts w:ascii="GHEA Grapalat" w:hAnsi="GHEA Grapalat"/>
          <w:lang w:val="af-ZA"/>
        </w:rPr>
      </w:pPr>
    </w:p>
    <w:p w:rsidR="00255880" w:rsidRDefault="00255880" w:rsidP="00255880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Տ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Ե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Ղ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Ե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Կ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Ա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Ն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Ք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</w:p>
    <w:p w:rsidR="00255880" w:rsidRDefault="00255880" w:rsidP="00255880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GHEA Grapalat"/>
          <w:b/>
          <w:lang w:val="hy-AM"/>
        </w:rPr>
        <w:lastRenderedPageBreak/>
        <w:t>«</w:t>
      </w:r>
      <w:r>
        <w:rPr>
          <w:rFonts w:ascii="GHEA Grapalat" w:hAnsi="GHEA Grapalat" w:cs="Sylfaen"/>
          <w:b/>
          <w:lang w:val="hy-AM"/>
        </w:rPr>
        <w:t xml:space="preserve">Հայաստանի Հանրապետության և Էրստե բանկի միջև </w:t>
      </w:r>
      <w:r>
        <w:rPr>
          <w:rFonts w:ascii="GHEA Grapalat" w:hAnsi="GHEA Grapalat" w:cs="GHEA Grapalat"/>
          <w:b/>
          <w:lang w:val="hy-AM"/>
        </w:rPr>
        <w:t>«Գաբրիել Սունդուկյանի անվան ազգային ակադեմիական թատրոնի վերանորոգման» ծրագրի իրականացման նպատակով արտոնյալ պայմաններով վարկային համաձայնագրի»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նախագծին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հավանության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տալու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մասին</w:t>
      </w:r>
      <w:r>
        <w:rPr>
          <w:rFonts w:ascii="GHEA Grapalat" w:hAnsi="GHEA Grapalat"/>
          <w:b/>
          <w:lang w:val="af-ZA"/>
        </w:rPr>
        <w:t xml:space="preserve"> </w:t>
      </w:r>
      <w:r>
        <w:rPr>
          <w:rFonts w:ascii="GHEA Grapalat" w:hAnsi="GHEA Grapalat" w:cs="Sylfaen"/>
          <w:b/>
          <w:szCs w:val="24"/>
          <w:lang w:val="af-ZA"/>
        </w:rPr>
        <w:t xml:space="preserve">ՀՀ կառավարության արձանագրային </w:t>
      </w:r>
    </w:p>
    <w:p w:rsidR="00255880" w:rsidRDefault="00255880" w:rsidP="00255880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որոշման նախագծի ընդունման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կապակցությամբ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պետական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կամ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տեղական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ինքնակառավարման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մարմինների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բյուջեներում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ծախսերի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և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եկամուտների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ավելացման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կամ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նվազեցման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մասին</w:t>
      </w:r>
    </w:p>
    <w:p w:rsidR="00255880" w:rsidRDefault="00255880" w:rsidP="00255880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55880" w:rsidRDefault="00255880" w:rsidP="00255880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GHEA Grapalat"/>
          <w:lang w:val="af-ZA"/>
        </w:rPr>
        <w:tab/>
      </w:r>
      <w:r>
        <w:rPr>
          <w:rFonts w:ascii="GHEA Grapalat" w:hAnsi="GHEA Grapalat" w:cs="GHEA Grapalat"/>
          <w:lang w:val="af-ZA"/>
        </w:rPr>
        <w:tab/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 xml:space="preserve">Հայաստանի Հանրապետության և Էրստե բանկի միջև </w:t>
      </w:r>
      <w:r>
        <w:rPr>
          <w:rFonts w:ascii="GHEA Grapalat" w:hAnsi="GHEA Grapalat" w:cs="GHEA Grapalat"/>
          <w:lang w:val="hy-AM"/>
        </w:rPr>
        <w:t>«Գաբրիել Սունդուկյանի անվան ազգային ակադեմիական թատրոնի վերանորոգման» ծրագրի իրականացման նպատակով արտոնյալ պայմաններով վարկային համաձայնագրի»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</w:rPr>
        <w:t>նախագծին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հավանություն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տալու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>» ՀՀ կառավարության արձանագրային որոշման նախագծի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lang w:val="af-ZA"/>
        </w:rPr>
        <w:t>ընդունման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/>
          <w:lang w:val="af-ZA"/>
        </w:rPr>
        <w:t>կապակցությամբ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/>
          <w:lang w:val="af-ZA"/>
        </w:rPr>
        <w:t>պետական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/>
          <w:lang w:val="af-ZA"/>
        </w:rPr>
        <w:t>ու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/>
          <w:lang w:val="af-ZA"/>
        </w:rPr>
        <w:t>տեղական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/>
          <w:lang w:val="af-ZA"/>
        </w:rPr>
        <w:t>ինքնակառավարման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/>
          <w:lang w:val="af-ZA"/>
        </w:rPr>
        <w:t>մարմինների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/>
          <w:lang w:val="af-ZA"/>
        </w:rPr>
        <w:t>բյուջեներում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/>
          <w:lang w:val="af-ZA"/>
        </w:rPr>
        <w:t>ծախսերի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/>
          <w:lang w:val="af-ZA"/>
        </w:rPr>
        <w:t>և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/>
          <w:lang w:val="af-ZA"/>
        </w:rPr>
        <w:t>եկամուտների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/>
          <w:lang w:val="af-ZA"/>
        </w:rPr>
        <w:t>փոփոխություն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նախատեսվում</w:t>
      </w:r>
      <w:r>
        <w:rPr>
          <w:rFonts w:ascii="GHEA Grapalat" w:hAnsi="GHEA Grapalat" w:cs="Sylfaen"/>
          <w:lang w:val="af-ZA"/>
        </w:rPr>
        <w:t>:</w:t>
      </w:r>
    </w:p>
    <w:p w:rsidR="00255880" w:rsidRDefault="00255880" w:rsidP="00255880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255880" w:rsidRDefault="00255880" w:rsidP="00255880">
      <w:pPr>
        <w:rPr>
          <w:rFonts w:ascii="GHEA Grapalat" w:hAnsi="GHEA Grapalat" w:cs="Sylfaen"/>
          <w:lang w:val="af-ZA"/>
        </w:rPr>
      </w:pPr>
    </w:p>
    <w:p w:rsidR="00255880" w:rsidRDefault="00255880" w:rsidP="00255880">
      <w:pPr>
        <w:rPr>
          <w:rFonts w:ascii="GHEA Grapalat" w:hAnsi="GHEA Grapalat" w:cs="Sylfaen"/>
          <w:lang w:val="af-ZA"/>
        </w:rPr>
      </w:pPr>
    </w:p>
    <w:p w:rsidR="00255880" w:rsidRDefault="00255880" w:rsidP="00255880">
      <w:pPr>
        <w:rPr>
          <w:rFonts w:ascii="GHEA Grapalat" w:hAnsi="GHEA Grapalat" w:cs="Sylfaen"/>
          <w:lang w:val="af-ZA"/>
        </w:rPr>
      </w:pPr>
    </w:p>
    <w:p w:rsidR="00255880" w:rsidRDefault="00255880" w:rsidP="00255880">
      <w:pPr>
        <w:rPr>
          <w:rFonts w:ascii="GHEA Grapalat" w:hAnsi="GHEA Grapalat" w:cs="Sylfaen"/>
          <w:lang w:val="af-ZA"/>
        </w:rPr>
      </w:pPr>
    </w:p>
    <w:p w:rsidR="00255880" w:rsidRDefault="00255880" w:rsidP="00255880">
      <w:pPr>
        <w:rPr>
          <w:rFonts w:ascii="GHEA Grapalat" w:hAnsi="GHEA Grapalat" w:cs="Sylfaen"/>
          <w:lang w:val="af-ZA"/>
        </w:rPr>
      </w:pPr>
    </w:p>
    <w:p w:rsidR="00255880" w:rsidRDefault="00255880" w:rsidP="00255880">
      <w:pPr>
        <w:rPr>
          <w:rFonts w:ascii="GHEA Grapalat" w:hAnsi="GHEA Grapalat" w:cs="Sylfaen"/>
          <w:lang w:val="af-ZA"/>
        </w:rPr>
      </w:pPr>
    </w:p>
    <w:p w:rsidR="00255880" w:rsidRDefault="00255880" w:rsidP="00255880">
      <w:pPr>
        <w:rPr>
          <w:rFonts w:ascii="GHEA Grapalat" w:hAnsi="GHEA Grapalat" w:cs="Sylfaen"/>
          <w:lang w:val="af-ZA"/>
        </w:rPr>
      </w:pPr>
    </w:p>
    <w:p w:rsidR="00255880" w:rsidRDefault="00255880" w:rsidP="00255880">
      <w:pPr>
        <w:rPr>
          <w:rFonts w:ascii="GHEA Grapalat" w:hAnsi="GHEA Grapalat" w:cs="Sylfaen"/>
          <w:lang w:val="af-ZA"/>
        </w:rPr>
      </w:pPr>
    </w:p>
    <w:p w:rsidR="00255880" w:rsidRDefault="00255880" w:rsidP="00255880">
      <w:pPr>
        <w:rPr>
          <w:rFonts w:ascii="GHEA Grapalat" w:hAnsi="GHEA Grapalat" w:cs="Sylfaen"/>
          <w:lang w:val="af-ZA"/>
        </w:rPr>
      </w:pPr>
    </w:p>
    <w:p w:rsidR="00255880" w:rsidRDefault="00255880" w:rsidP="00255880">
      <w:pPr>
        <w:rPr>
          <w:rFonts w:ascii="GHEA Grapalat" w:hAnsi="GHEA Grapalat" w:cs="Sylfaen"/>
          <w:lang w:val="af-ZA"/>
        </w:rPr>
      </w:pPr>
    </w:p>
    <w:p w:rsidR="00255880" w:rsidRDefault="00255880" w:rsidP="00255880">
      <w:pPr>
        <w:tabs>
          <w:tab w:val="left" w:pos="8580"/>
        </w:tabs>
        <w:rPr>
          <w:rFonts w:ascii="GHEA Grapalat" w:hAnsi="GHEA Grapalat" w:cs="Sylfaen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ՀՀ</w:t>
      </w:r>
      <w:r>
        <w:rPr>
          <w:rFonts w:ascii="GHEA Grapalat" w:hAnsi="GHEA Grapalat" w:cs="Arial LatArm"/>
          <w:b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szCs w:val="24"/>
          <w:lang w:val="af-ZA"/>
        </w:rPr>
        <w:t>ֆինանսների նախարարություն</w:t>
      </w:r>
    </w:p>
    <w:p w:rsidR="00255880" w:rsidRDefault="00255880" w:rsidP="00255880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lastRenderedPageBreak/>
        <w:t>Տ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Ե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Ղ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Ե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Կ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Ա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Ն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Ք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</w:p>
    <w:p w:rsidR="00255880" w:rsidRDefault="00255880" w:rsidP="00255880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GHEA Grapalat"/>
          <w:b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 xml:space="preserve">Հայաստանի Հանրապետության և Էրստե բանկի միջև </w:t>
      </w:r>
      <w:r>
        <w:rPr>
          <w:rFonts w:ascii="GHEA Grapalat" w:hAnsi="GHEA Grapalat" w:cs="GHEA Grapalat"/>
          <w:b/>
          <w:lang w:val="hy-AM"/>
        </w:rPr>
        <w:t>«Գաբրիել Սունդուկյանի անվան ազգային ակադեմիական թատրոնի վերանորոգման» ծրագրի իրականացման նպատակով արտոնյալ պայմաններով վարկային համաձայնագրի»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նախագծին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հավանության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տալու</w:t>
      </w:r>
      <w:r>
        <w:rPr>
          <w:rFonts w:ascii="GHEA Grapalat" w:hAnsi="GHEA Grapalat" w:cs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մասին</w:t>
      </w:r>
      <w:r>
        <w:rPr>
          <w:rFonts w:ascii="GHEA Grapalat" w:hAnsi="GHEA Grapalat"/>
          <w:b/>
          <w:lang w:val="af-ZA"/>
        </w:rPr>
        <w:t xml:space="preserve"> </w:t>
      </w:r>
      <w:r>
        <w:rPr>
          <w:rFonts w:ascii="GHEA Grapalat" w:hAnsi="GHEA Grapalat" w:cs="Sylfaen"/>
          <w:b/>
          <w:szCs w:val="24"/>
          <w:lang w:val="af-ZA"/>
        </w:rPr>
        <w:t xml:space="preserve">ՀՀ կառավարության արձանագրային </w:t>
      </w:r>
    </w:p>
    <w:p w:rsidR="00255880" w:rsidRDefault="00255880" w:rsidP="00255880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որոշման նախագծի ընդունման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կապակցությամբ </w:t>
      </w:r>
      <w:r>
        <w:rPr>
          <w:rFonts w:ascii="GHEA Grapalat" w:hAnsi="GHEA Grapalat" w:cs="Sylfaen"/>
          <w:b/>
          <w:szCs w:val="24"/>
          <w:lang w:val="af-ZA"/>
        </w:rPr>
        <w:t>այլ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իրավական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ակտերում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փոփոխություններ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կամ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լրացումներ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կատարելու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անհրաժեշտության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55880" w:rsidRDefault="00255880" w:rsidP="00255880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ab/>
        <w:t>«Հայաստանի Հանրապետության և Էրստե բանկի միջև «Գաբրիել Սունդուկյանի անվան ազգային ակադեմիական թատրոնի վերանորոգման» ծրագրի իրականացման նպատակով արտոնյալ պայմաններով վարկային համաձայնագրի» նախագծին հավանության տալու մասին ՀՀ կառավարության արձանագրային որոշման նախագծի ընդունման կապակցությամբ այլ իրավական ակտերում փոփոխություններ կամ լրացումներ կատարելու անհրաժեշտության կառաջանա:</w:t>
      </w:r>
    </w:p>
    <w:p w:rsidR="00255880" w:rsidRDefault="00255880" w:rsidP="00255880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                                                                             </w:t>
      </w: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                                                                        </w:t>
      </w: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                                                                  </w:t>
      </w: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                                                                                 </w:t>
      </w: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ՀՀ</w:t>
      </w:r>
      <w:r>
        <w:rPr>
          <w:rFonts w:ascii="GHEA Grapalat" w:hAnsi="GHEA Grapalat" w:cs="Arial LatArm"/>
          <w:b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szCs w:val="24"/>
          <w:lang w:val="af-ZA"/>
        </w:rPr>
        <w:t>ֆինանսների նախարարություն</w:t>
      </w:r>
    </w:p>
    <w:p w:rsidR="00255880" w:rsidRDefault="00255880" w:rsidP="00255880">
      <w:pPr>
        <w:pStyle w:val="BodyText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rPr>
          <w:rFonts w:ascii="GHEA Grapalat" w:hAnsi="GHEA Grapalat" w:cs="Sylfaen"/>
          <w:b/>
          <w:szCs w:val="24"/>
          <w:lang w:val="af-ZA"/>
        </w:rPr>
      </w:pPr>
    </w:p>
    <w:p w:rsidR="00255880" w:rsidRDefault="00255880" w:rsidP="00255880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lastRenderedPageBreak/>
        <w:t>Տ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Ե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Ղ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Ե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Կ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Ա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Ն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Ք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</w:p>
    <w:p w:rsidR="00255880" w:rsidRDefault="00255880" w:rsidP="00255880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GHEA Grapalat"/>
          <w:b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 xml:space="preserve">Հայաստանի Հանրապետության և Էրստե բանկի միջև </w:t>
      </w:r>
      <w:r>
        <w:rPr>
          <w:rFonts w:ascii="GHEA Grapalat" w:hAnsi="GHEA Grapalat" w:cs="GHEA Grapalat"/>
          <w:b/>
          <w:lang w:val="hy-AM"/>
        </w:rPr>
        <w:t>«Գաբրիել Սունդուկյանի անվան ազգային ակադեմիական թատրոնի վերանորոգման» ծրագրի իրականացման նպատակով արտոնյալ պայմաններով վարկային համաձայնագրի»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նախագծին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հավանության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տալու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մասին</w:t>
      </w:r>
      <w:r>
        <w:rPr>
          <w:rFonts w:ascii="GHEA Grapalat" w:hAnsi="GHEA Grapalat"/>
          <w:b/>
          <w:lang w:val="af-ZA"/>
        </w:rPr>
        <w:t xml:space="preserve"> </w:t>
      </w:r>
      <w:r>
        <w:rPr>
          <w:rFonts w:ascii="GHEA Grapalat" w:hAnsi="GHEA Grapalat" w:cs="Sylfaen"/>
          <w:b/>
          <w:szCs w:val="24"/>
          <w:lang w:val="af-ZA"/>
        </w:rPr>
        <w:t xml:space="preserve">ՀՀ կառավարության արձանագրային </w:t>
      </w:r>
    </w:p>
    <w:p w:rsidR="00255880" w:rsidRDefault="00255880" w:rsidP="00255880">
      <w:pPr>
        <w:spacing w:line="360" w:lineRule="auto"/>
        <w:ind w:firstLine="720"/>
        <w:jc w:val="center"/>
        <w:rPr>
          <w:rFonts w:ascii="GHEA Grapalat" w:hAnsi="GHEA Grapalat"/>
          <w:b/>
          <w:color w:val="FF0000"/>
          <w:lang w:val="af-ZA"/>
        </w:rPr>
      </w:pPr>
      <w:r>
        <w:rPr>
          <w:rFonts w:ascii="GHEA Grapalat" w:hAnsi="GHEA Grapalat" w:cs="Sylfaen"/>
          <w:b/>
          <w:lang w:val="af-ZA"/>
        </w:rPr>
        <w:t>որոշման նախագիծը մշակող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մարմնի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և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այլ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մարմինների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մասին</w:t>
      </w:r>
      <w:r>
        <w:rPr>
          <w:rFonts w:ascii="GHEA Grapalat" w:hAnsi="GHEA Grapalat" w:cs="Arial LatArm"/>
          <w:b/>
          <w:lang w:val="af-ZA"/>
        </w:rPr>
        <w:t xml:space="preserve">, </w:t>
      </w:r>
      <w:r>
        <w:rPr>
          <w:rFonts w:ascii="GHEA Grapalat" w:hAnsi="GHEA Grapalat" w:cs="Sylfaen"/>
          <w:b/>
          <w:lang w:val="af-ZA"/>
        </w:rPr>
        <w:t>ում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հետ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նախագիծը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համաձայնեցվել</w:t>
      </w:r>
      <w:r>
        <w:rPr>
          <w:rFonts w:ascii="GHEA Grapalat" w:hAnsi="GHEA Grapalat" w:cs="Arial LatArm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է</w:t>
      </w:r>
      <w:r>
        <w:rPr>
          <w:rFonts w:ascii="GHEA Grapalat" w:hAnsi="GHEA Grapalat"/>
          <w:b/>
          <w:color w:val="FF0000"/>
          <w:lang w:val="af-ZA"/>
        </w:rPr>
        <w:t xml:space="preserve"> </w:t>
      </w:r>
    </w:p>
    <w:p w:rsidR="00255880" w:rsidRDefault="00255880" w:rsidP="00255880">
      <w:pPr>
        <w:pStyle w:val="BodyText"/>
        <w:tabs>
          <w:tab w:val="left" w:pos="720"/>
          <w:tab w:val="left" w:pos="1200"/>
          <w:tab w:val="left" w:pos="1791"/>
        </w:tabs>
        <w:jc w:val="center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tabs>
          <w:tab w:val="left" w:pos="720"/>
          <w:tab w:val="left" w:pos="1200"/>
          <w:tab w:val="left" w:pos="1791"/>
        </w:tabs>
        <w:jc w:val="center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ab/>
        <w:t>«Հայաստանի Հանրապետության և Էրստե բանկի միջև «Գաբրիել Սունդուկյանի անվան ազգային ակադեմիական թատրոնի վերանորոգման» ծրագրի իրականացման նպատակով արտոնյալ պայմաններով վարկային համաձայնագրի» նախագծին հավանության տալու ՀՀ կառավարության արձանագրային որոշման նախագիծը մշակվել է ՀՀ ֆինանսների նախարարության աշխատակազմի կողմից:</w:t>
      </w:r>
    </w:p>
    <w:p w:rsidR="00255880" w:rsidRDefault="00255880" w:rsidP="00255880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                                                                                 </w:t>
      </w: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                                                                              </w:t>
      </w: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255880" w:rsidRDefault="00255880" w:rsidP="00255880">
      <w:pPr>
        <w:pStyle w:val="BodyText"/>
        <w:spacing w:line="240" w:lineRule="auto"/>
        <w:jc w:val="right"/>
        <w:rPr>
          <w:rFonts w:ascii="GHEA Grapalat" w:hAnsi="GHEA Grapalat" w:cs="Sylfaen"/>
          <w:color w:val="FF0000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   </w:t>
      </w:r>
      <w:r>
        <w:rPr>
          <w:rFonts w:ascii="GHEA Grapalat" w:hAnsi="GHEA Grapalat" w:cs="Sylfaen"/>
          <w:b/>
          <w:szCs w:val="24"/>
          <w:lang w:val="af-ZA"/>
        </w:rPr>
        <w:t>ՀՀ ֆինանսների նախարարություն</w:t>
      </w:r>
    </w:p>
    <w:p w:rsidR="00255880" w:rsidRDefault="00255880" w:rsidP="00255880">
      <w:pPr>
        <w:rPr>
          <w:rFonts w:ascii="GHEA Grapalat" w:hAnsi="GHEA Grapalat" w:cs="Sylfaen"/>
          <w:color w:val="FF0000"/>
          <w:lang w:val="af-ZA"/>
        </w:rPr>
        <w:sectPr w:rsidR="00255880">
          <w:pgSz w:w="11906" w:h="16838"/>
          <w:pgMar w:top="1138" w:right="562" w:bottom="562" w:left="1138" w:header="706" w:footer="706" w:gutter="0"/>
          <w:cols w:space="720"/>
        </w:sectPr>
      </w:pPr>
    </w:p>
    <w:p w:rsidR="00084B3E" w:rsidRDefault="00084B3E"/>
    <w:sectPr w:rsidR="00084B3E" w:rsidSect="00084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255880"/>
    <w:rsid w:val="00084B3E"/>
    <w:rsid w:val="0025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255880"/>
    <w:pPr>
      <w:spacing w:line="360" w:lineRule="auto"/>
      <w:jc w:val="both"/>
    </w:pPr>
    <w:rPr>
      <w:rFonts w:ascii="Arial LatArm" w:hAnsi="Arial LatArm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55880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locked/>
    <w:rsid w:val="00255880"/>
    <w:rPr>
      <w:rFonts w:ascii="Arial LatArm" w:eastAsia="Times New Roman" w:hAnsi="Arial LatArm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NarineG</dc:creator>
  <cp:keywords/>
  <dc:description/>
  <cp:lastModifiedBy>NarineG</cp:lastModifiedBy>
  <cp:revision>2</cp:revision>
  <dcterms:created xsi:type="dcterms:W3CDTF">2014-11-24T13:35:00Z</dcterms:created>
  <dcterms:modified xsi:type="dcterms:W3CDTF">2014-11-24T13:36:00Z</dcterms:modified>
</cp:coreProperties>
</file>