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A76056" w:rsidRDefault="00620B96" w:rsidP="00A7605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620B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 2013 ԹՎԱԿԱՆԻ ՀՈՒՆԻՍԻ 25-Ի՝ 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 ՌԱԶՄԱՏԵԽՆԻԿԱԿԱՆ ՀԱՄԱԳՈՐԾԱԿՑՈՒԹՅԱՆ ԶԱՐԳԱՑՄԱՆ ՄԱՍԻՆ» ՊԱՅՄԱՆԱԳՐԻ ՇՐՋԱՆԱԿՆԵՐՈՒՄ ՄԱՏԱԿԱՐԱՐՎՈՂ ՌԱԶՄԱԿԱՆ ՆՇԱՆԱԿՈՒԹՅԱՆ ԱՐՏԱԴՐԱՆՔԻ ԱՌԿԱՅՈՒԹՅԱՆ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 ՆՊԱՏԱԿԱՅԻՆ ՕԳՏԱԳՈՐԾՄԱՆ ՆԿԱՏՄԱՄԲ ՀՍԿՈՂՈՒԹՅԱՆ ԻՐԱԿԱՆԱՑՄԱՆ ԿԱՐԳԻ ՄԱՍԻՆ» </w:t>
      </w:r>
      <w:r w:rsidRPr="00620B96">
        <w:rPr>
          <w:rFonts w:ascii="GHEA Grapalat" w:hAnsi="GHEA Grapalat"/>
          <w:b/>
          <w:sz w:val="24"/>
          <w:szCs w:val="24"/>
          <w:lang w:val="hy-AM"/>
        </w:rPr>
        <w:t>ՀԱՄԱՁԱՅՆԱԳԻՐ</w:t>
      </w:r>
      <w:r w:rsidRPr="00620B96">
        <w:rPr>
          <w:rFonts w:ascii="GHEA Grapalat" w:hAnsi="GHEA Grapalat"/>
          <w:b/>
          <w:sz w:val="24"/>
          <w:szCs w:val="24"/>
          <w:lang w:val="fr-FR"/>
        </w:rPr>
        <w:t xml:space="preserve">Ը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A76056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472BF9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Pr="00A87850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10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Հիմք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 w:cs="Tahoma"/>
          <w:sz w:val="24"/>
          <w:szCs w:val="24"/>
        </w:rPr>
        <w:t>Ազգային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ժողովի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կանոնակարգ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Հանրա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պե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proofErr w:type="spellStart"/>
      <w:r>
        <w:rPr>
          <w:rFonts w:ascii="GHEA Grapalat" w:hAnsi="GHEA Grapalat" w:cs="Tahoma"/>
          <w:sz w:val="24"/>
          <w:szCs w:val="24"/>
        </w:rPr>
        <w:t>տության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proofErr w:type="spellStart"/>
      <w:r>
        <w:rPr>
          <w:rFonts w:ascii="GHEA Grapalat" w:hAnsi="GHEA Grapalat" w:cs="Tahoma"/>
          <w:sz w:val="24"/>
          <w:szCs w:val="24"/>
        </w:rPr>
        <w:t>րդ</w:t>
      </w:r>
      <w:proofErr w:type="spellEnd"/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մասը</w:t>
      </w:r>
      <w:proofErr w:type="spellEnd"/>
      <w:r>
        <w:rPr>
          <w:rFonts w:ascii="GHEA Grapalat" w:hAnsi="GHEA Grapalat" w:cs="Tahoma"/>
          <w:sz w:val="24"/>
          <w:szCs w:val="24"/>
        </w:rPr>
        <w:t>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  <w:proofErr w:type="gramEnd"/>
    </w:p>
    <w:p w:rsidR="00482D32" w:rsidRPr="00A87850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10"/>
          <w:szCs w:val="24"/>
          <w:lang w:val="fr-FR"/>
        </w:rPr>
      </w:pPr>
    </w:p>
    <w:p w:rsidR="00C74208" w:rsidRPr="000E4BE3" w:rsidRDefault="0078278F" w:rsidP="000E4BE3">
      <w:pPr>
        <w:spacing w:after="0" w:line="360" w:lineRule="auto"/>
        <w:ind w:right="96" w:firstLine="375"/>
        <w:jc w:val="both"/>
        <w:rPr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C74208">
        <w:rPr>
          <w:rFonts w:ascii="GHEA Grapalat" w:hAnsi="GHEA Grapalat"/>
          <w:sz w:val="24"/>
          <w:szCs w:val="24"/>
        </w:rPr>
        <w:t>Հավանություն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/>
          <w:sz w:val="24"/>
          <w:szCs w:val="24"/>
        </w:rPr>
        <w:t>տալ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620B96">
        <w:rPr>
          <w:rFonts w:ascii="GHEA Grapalat" w:hAnsi="GHEA Grapalat"/>
          <w:sz w:val="24"/>
          <w:szCs w:val="24"/>
          <w:lang w:val="hy-AM"/>
        </w:rPr>
        <w:t xml:space="preserve">2016 թվականի հոկտեմբերի 13-ին Երևանում ստորագրված </w:t>
      </w:r>
      <w:r w:rsidR="00620B96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ռազմատեխնիկական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620B9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="00620B96">
        <w:rPr>
          <w:rFonts w:ascii="GHEA Grapalat" w:hAnsi="GHEA Grapalat"/>
          <w:sz w:val="24"/>
          <w:szCs w:val="24"/>
          <w:lang w:val="fr-FR"/>
        </w:rPr>
        <w:t xml:space="preserve">» </w:t>
      </w:r>
      <w:r w:rsidR="00620B96">
        <w:rPr>
          <w:rFonts w:ascii="GHEA Grapalat" w:hAnsi="GHEA Grapalat"/>
          <w:sz w:val="24"/>
          <w:szCs w:val="24"/>
          <w:lang w:val="hy-AM"/>
        </w:rPr>
        <w:t>համաձայնագիր</w:t>
      </w:r>
      <w:r w:rsidR="00620B96">
        <w:rPr>
          <w:rFonts w:ascii="GHEA Grapalat" w:hAnsi="GHEA Grapalat"/>
          <w:sz w:val="24"/>
          <w:szCs w:val="24"/>
          <w:lang w:val="fr-FR"/>
        </w:rPr>
        <w:t>ը</w:t>
      </w:r>
      <w:bookmarkStart w:id="0" w:name="_GoBack"/>
      <w:bookmarkEnd w:id="0"/>
      <w:r w:rsidR="000E4B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Հանրապետու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կառավարու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թյան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proofErr w:type="spellStart"/>
      <w:r w:rsidRPr="00C74208">
        <w:rPr>
          <w:rFonts w:ascii="GHEA Grapalat" w:hAnsi="GHEA Grapalat" w:cs="Sylfaen"/>
          <w:sz w:val="24"/>
          <w:szCs w:val="24"/>
        </w:rPr>
        <w:t>ձեռնությանը</w:t>
      </w:r>
      <w:proofErr w:type="spellEnd"/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4922" w:rsidRDefault="0078278F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ձեռ</w:t>
      </w:r>
      <w:proofErr w:type="spellEnd"/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Sylfaen"/>
          <w:sz w:val="24"/>
          <w:szCs w:val="24"/>
        </w:rPr>
        <w:t>նությունը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սահմանված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</w:t>
      </w:r>
      <w:proofErr w:type="spellEnd"/>
      <w:r w:rsidRPr="0078278F">
        <w:rPr>
          <w:rFonts w:ascii="GHEA Grapalat" w:hAnsi="GHEA Grapalat"/>
          <w:sz w:val="24"/>
          <w:szCs w:val="24"/>
          <w:lang w:val="af-ZA"/>
        </w:rPr>
        <w:t>:</w:t>
      </w:r>
    </w:p>
    <w:p w:rsidR="00A87850" w:rsidRDefault="00A87850">
      <w:pPr>
        <w:spacing w:after="160" w:line="259" w:lineRule="auto"/>
        <w:rPr>
          <w:rFonts w:ascii="GHEA Grapalat" w:hAnsi="GHEA Grapalat"/>
          <w:sz w:val="24"/>
          <w:szCs w:val="24"/>
          <w:lang w:val="af-ZA"/>
        </w:rPr>
      </w:pPr>
    </w:p>
    <w:p w:rsidR="00A87850" w:rsidRPr="00A87850" w:rsidRDefault="00A87850">
      <w:pPr>
        <w:spacing w:after="160" w:line="259" w:lineRule="auto"/>
        <w:rPr>
          <w:rFonts w:ascii="GHEA Grapalat" w:hAnsi="GHEA Grapalat"/>
          <w:sz w:val="24"/>
          <w:szCs w:val="24"/>
          <w:lang w:val="af-ZA"/>
        </w:rPr>
      </w:pPr>
      <w:r w:rsidRPr="00A87850">
        <w:rPr>
          <w:rFonts w:ascii="GHEA Grapalat" w:hAnsi="GHEA Grapalat"/>
          <w:sz w:val="24"/>
          <w:szCs w:val="24"/>
          <w:lang w:val="af-ZA"/>
        </w:rPr>
        <w:t>Զեկուցող՝ Վիգեն Սարգսյան</w:t>
      </w:r>
      <w:r w:rsidRPr="00A87850">
        <w:rPr>
          <w:rFonts w:ascii="GHEA Grapalat" w:hAnsi="GHEA Grapalat"/>
          <w:sz w:val="24"/>
          <w:szCs w:val="24"/>
          <w:lang w:val="af-ZA"/>
        </w:rPr>
        <w:br w:type="page"/>
      </w:r>
    </w:p>
    <w:p w:rsidR="00A87850" w:rsidRDefault="00A87850" w:rsidP="00A87850">
      <w:pPr>
        <w:rPr>
          <w:lang w:val="fr-FR"/>
        </w:rPr>
      </w:pPr>
    </w:p>
    <w:p w:rsidR="00A87850" w:rsidRDefault="00A87850" w:rsidP="00A87850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A87850" w:rsidRPr="00EB3111" w:rsidRDefault="00A87850" w:rsidP="00A87850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A87850" w:rsidRPr="00EB3111" w:rsidRDefault="00A87850" w:rsidP="00A87850">
      <w:pPr>
        <w:pStyle w:val="NormalWeb"/>
        <w:spacing w:after="0" w:line="276" w:lineRule="auto"/>
        <w:ind w:right="-138"/>
        <w:jc w:val="center"/>
        <w:rPr>
          <w:lang w:val="fr-FR"/>
        </w:rPr>
      </w:pPr>
      <w:r>
        <w:rPr>
          <w:rStyle w:val="Strong"/>
          <w:rFonts w:ascii="GHEA Grapalat" w:hAnsi="GHEA Grapalat" w:cs="Sylfaen"/>
          <w:lang w:val="hy-AM"/>
        </w:rPr>
        <w:t>ՀԱՅԱՍՏԱՆԻ</w:t>
      </w: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A87850" w:rsidRPr="00EB3111" w:rsidRDefault="00A87850" w:rsidP="00A87850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A87850" w:rsidRPr="00EB3111" w:rsidRDefault="00A87850" w:rsidP="00A87850">
      <w:pPr>
        <w:spacing w:after="0"/>
        <w:ind w:right="96"/>
        <w:jc w:val="both"/>
        <w:rPr>
          <w:lang w:val="fr-FR"/>
        </w:rPr>
      </w:pPr>
    </w:p>
    <w:p w:rsidR="00A87850" w:rsidRPr="00EB3111" w:rsidRDefault="00A87850" w:rsidP="00A87850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ԵՎ ՌՈՒՍԱՍՏԱՆԻ ԴԱՇՆՈՒԹՅԱՆ ՄԻՋԵՎ 2013 ԹՎԱԿԱՆԻ ՀՈՒՆԻՍԻ 25-Ի՝ «ՀԱՅԱՍՏԱՆԻ ՀԱՆՐԱՊԵՏՈՒԹՅԱՆ ԵՎ ՌՈՒՍԱՍՏԱՆԻ ԴԱՇՆՈՒԹՅԱՆ ՄԻՋԵՎ ՌԱԶՄԱՏԵԽՆԻԿԱԿԱՆ ՀԱՄԱԳՈՐԾԱԿՑՈՒԹՅԱՆ ԶԱՐԳԱՑՄԱՆ ՄԱՍԻՆ» ՊԱՅՄԱՆԱԳՐԻ ՇՐՋԱՆԱԿՆԵՐՈՒՄ ՄԱՏԱԿԱՐԱՐՎՈՂ ՌԱԶՄԱԿԱՆ ՆՇԱՆԱԿՈՒԹՅԱՆ ԱՐՏԱԴՐԱՆՔԻ ԱՌԿԱՅՈՒԹՅԱՆ ԵՎ ՆՊԱՏԱԿԱՅԻՆ ՕԳՏԱԳՈՐԾՄԱՆ ՆԿԱՏՄԱՄԲ ՀՍԿՈՂՈՒԹՅԱՆ ԻՐԱԿԱՆԱՑՄԱՆ ԿԱՐԳԻ ՄԱՍԻՆ» </w:t>
      </w:r>
      <w:r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A87850" w:rsidRDefault="00A87850" w:rsidP="00A87850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A87850" w:rsidRDefault="00A87850" w:rsidP="00A87850">
      <w:pPr>
        <w:spacing w:after="0"/>
        <w:ind w:right="96" w:firstLine="375"/>
        <w:jc w:val="both"/>
        <w:rPr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 2016 թվականի հոկտեմբերի 13-ին Երևանում ստորագրված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ռազմատեխնիկական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համաձայնագիր</w:t>
      </w:r>
      <w:r>
        <w:rPr>
          <w:rFonts w:ascii="GHEA Grapalat" w:hAnsi="GHEA Grapalat"/>
          <w:sz w:val="24"/>
          <w:szCs w:val="24"/>
          <w:lang w:val="fr-FR"/>
        </w:rPr>
        <w:t>ը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87850" w:rsidRDefault="00A87850" w:rsidP="00A87850">
      <w:pPr>
        <w:spacing w:after="0"/>
        <w:ind w:right="96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A87850" w:rsidRDefault="00A87850" w:rsidP="00A87850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Սույն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ուժի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մտնում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պաշտոնական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հրապարակմանը հաջորդող օր</w:t>
      </w:r>
      <w:r w:rsidRPr="00EB3111">
        <w:rPr>
          <w:rFonts w:ascii="GHEA Grapalat" w:hAnsi="GHEA Grapalat" w:cs="Sylfaen"/>
          <w:sz w:val="24"/>
          <w:szCs w:val="24"/>
          <w:lang w:val="hy-AM"/>
        </w:rPr>
        <w:t>վանից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A87850" w:rsidRDefault="00A87850" w:rsidP="00A87850">
      <w:pPr>
        <w:rPr>
          <w:lang w:val="fr-FR"/>
        </w:rPr>
      </w:pPr>
    </w:p>
    <w:p w:rsidR="00A87850" w:rsidRPr="001112A8" w:rsidRDefault="00A87850" w:rsidP="00A87850">
      <w:pPr>
        <w:rPr>
          <w:lang w:val="fr-FR"/>
        </w:rPr>
      </w:pPr>
    </w:p>
    <w:p w:rsidR="00A87850" w:rsidRDefault="00A87850" w:rsidP="00A87850">
      <w:pPr>
        <w:rPr>
          <w:lang w:val="fr-FR"/>
        </w:rPr>
      </w:pPr>
    </w:p>
    <w:p w:rsidR="00A87850" w:rsidRDefault="00A87850" w:rsidP="00A87850">
      <w:pPr>
        <w:spacing w:after="0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87850" w:rsidRPr="00015082" w:rsidRDefault="00A87850" w:rsidP="00A87850">
      <w:pPr>
        <w:rPr>
          <w:sz w:val="24"/>
          <w:szCs w:val="24"/>
          <w:lang w:val="fr-FR"/>
        </w:rPr>
      </w:pPr>
    </w:p>
    <w:p w:rsidR="00A87850" w:rsidRDefault="00A87850">
      <w:pPr>
        <w:spacing w:after="160" w:line="259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A87850" w:rsidRDefault="00A87850" w:rsidP="00A87850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lastRenderedPageBreak/>
        <w:t>ՀԻՄՆԱՎՈՐՈՒՄ</w:t>
      </w:r>
    </w:p>
    <w:p w:rsidR="00A87850" w:rsidRDefault="00A87850" w:rsidP="00A87850">
      <w:pPr>
        <w:jc w:val="center"/>
        <w:rPr>
          <w:rFonts w:ascii="GHEA Grapalat" w:hAnsi="GHEA Grapalat"/>
          <w:b/>
          <w:sz w:val="24"/>
          <w:szCs w:val="24"/>
        </w:rPr>
      </w:pP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2013 ԹՎԱԿԱՆԻ ՀՈՒՆԻՍԻ 25-Ի՝ 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ՌԱԶՄԱՏԵԽՆԻԿԱԿԱՆ ՀԱՄԱԳՈՐԾԱԿՑՈՒԹՅԱՆ ԶԱՐԳԱՑՄԱՆ ՄԱՍԻՆ» ՊԱՅՄԱՆԱԳՐԻ ՇՐՋԱՆԱԿՆԵՐՈՒՄ ՄԱՏԱԿԱՐԱՐՎՈՂ ՌԱԶՄԱԿԱՆ ՆՇԱՆԱԿՈՒԹՅԱՆ ԱՐՏԱԴՐԱՆՔԻ ԱՌԿԱՅՈՒԹՅԱՆ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ՆՊԱՏԱԿԱՅԻՆ ՕԳՏԱԳՈՐԾՄԱՆ ՆԿԱՏՄԱՄԲ ՀՍԿՈՂՈՒԹՅԱՆ ԻՐԱԿԱՆԱՑՄԱՆ ԿԱՐԳԻ ՄԱՍԻՆ» </w:t>
      </w:r>
      <w:r w:rsidRPr="00DB5768">
        <w:rPr>
          <w:rFonts w:ascii="GHEA Grapalat" w:hAnsi="GHEA Grapalat"/>
          <w:b/>
          <w:sz w:val="24"/>
          <w:szCs w:val="24"/>
          <w:lang w:val="hy-AM"/>
        </w:rPr>
        <w:t>ՀԱՄԱՁԱՅՆԱԳԻՐ</w:t>
      </w:r>
      <w:r w:rsidRPr="00DB5768">
        <w:rPr>
          <w:rFonts w:ascii="GHEA Grapalat" w:hAnsi="GHEA Grapalat"/>
          <w:b/>
          <w:sz w:val="24"/>
          <w:szCs w:val="24"/>
          <w:lang w:val="fr-FR"/>
        </w:rPr>
        <w:t>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A87850" w:rsidRDefault="00A87850" w:rsidP="00A87850">
      <w:pPr>
        <w:rPr>
          <w:rFonts w:ascii="GHEA Grapalat" w:hAnsi="GHEA Grapalat"/>
          <w:sz w:val="24"/>
          <w:szCs w:val="24"/>
        </w:rPr>
      </w:pPr>
    </w:p>
    <w:p w:rsidR="00A87850" w:rsidRDefault="00A87850" w:rsidP="00A87850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  <w:proofErr w:type="spellEnd"/>
    </w:p>
    <w:p w:rsidR="00A87850" w:rsidRPr="008146D4" w:rsidRDefault="00A87850" w:rsidP="00A8785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2015 </w:t>
      </w:r>
      <w:proofErr w:type="spellStart"/>
      <w:r>
        <w:rPr>
          <w:rFonts w:ascii="GHEA Grapalat" w:hAnsi="GHEA Grapalat" w:cs="Arial"/>
          <w:sz w:val="24"/>
          <w:szCs w:val="24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proofErr w:type="spellStart"/>
      <w:r>
        <w:rPr>
          <w:rFonts w:ascii="GHEA Grapalat" w:hAnsi="GHEA Grapalat" w:cs="Arial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</w:rPr>
        <w:t>Սահմանադրության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ժողովը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պայմանագիրը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վավերացվում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օրենքով</w:t>
      </w:r>
      <w:proofErr w:type="spellEnd"/>
      <w:r>
        <w:rPr>
          <w:rFonts w:ascii="GHEA Grapalat" w:hAnsi="GHEA Grapalat"/>
          <w:sz w:val="24"/>
          <w:szCs w:val="24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պատգամավորների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թվի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ձայների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մեծամասնությամբ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լրացումներ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կատարելու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օրենքին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անհրաժեշտությունից՝ մշակվել է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ռազմատեխնիկական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06D4E">
        <w:rPr>
          <w:rFonts w:ascii="GHEA Grapalat" w:hAnsi="GHEA Grapalat"/>
          <w:sz w:val="24"/>
          <w:szCs w:val="24"/>
          <w:lang w:val="hy-AM"/>
        </w:rPr>
        <w:t>համաձայնագիր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46D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</w:t>
      </w:r>
      <w:r w:rsidRPr="00593D36">
        <w:rPr>
          <w:rFonts w:ascii="GHEA Grapalat" w:hAnsi="GHEA Grapalat" w:cs="Arial"/>
          <w:sz w:val="24"/>
          <w:szCs w:val="24"/>
          <w:lang w:val="hy-AM"/>
        </w:rPr>
        <w:t>ը:</w:t>
      </w:r>
      <w:r w:rsidRPr="008146D4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87850" w:rsidRDefault="00A87850" w:rsidP="00A8785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A87850" w:rsidRPr="00593D36" w:rsidRDefault="00A87850" w:rsidP="00A87850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</w:t>
      </w:r>
      <w:r w:rsidRPr="008146D4">
        <w:rPr>
          <w:rFonts w:ascii="GHEA Grapalat" w:hAnsi="GHEA Grapalat"/>
          <w:sz w:val="24"/>
          <w:szCs w:val="24"/>
          <w:lang w:val="hy-AM"/>
        </w:rPr>
        <w:t>նախատեսվում 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93D36">
        <w:rPr>
          <w:rFonts w:ascii="GHEA Grapalat" w:hAnsi="GHEA Grapalat"/>
          <w:sz w:val="24"/>
          <w:szCs w:val="24"/>
          <w:lang w:val="hy-AM"/>
        </w:rPr>
        <w:t xml:space="preserve">վավերացնել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lastRenderedPageBreak/>
        <w:t>ռազմատեխնիկական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406D4E">
        <w:rPr>
          <w:rFonts w:ascii="GHEA Grapalat" w:hAnsi="GHEA Grapalat"/>
          <w:sz w:val="24"/>
          <w:szCs w:val="24"/>
          <w:lang w:val="hy-AM"/>
        </w:rPr>
        <w:t>համաձայնագիր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593D36">
        <w:rPr>
          <w:rFonts w:ascii="GHEA Grapalat" w:hAnsi="GHEA Grapalat"/>
          <w:sz w:val="24"/>
          <w:szCs w:val="24"/>
          <w:lang w:val="hy-AM"/>
        </w:rPr>
        <w:t>:</w:t>
      </w:r>
    </w:p>
    <w:p w:rsidR="00A87850" w:rsidRDefault="00A87850" w:rsidP="00A8785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A87850" w:rsidRDefault="00A87850" w:rsidP="00A87850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9473E"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A87850" w:rsidRDefault="00A87850" w:rsidP="00A87850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Pr="0059473E"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կապահովվ</w:t>
      </w:r>
      <w:r w:rsidRPr="00593D36">
        <w:rPr>
          <w:rFonts w:ascii="GHEA Grapalat" w:hAnsi="GHEA Grapalat" w:cs="Arial"/>
          <w:sz w:val="24"/>
          <w:szCs w:val="24"/>
          <w:lang w:val="hy-AM"/>
        </w:rPr>
        <w:t>են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565C69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ռազմատեխնիկական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565C69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565C69"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համաձայնագրի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87850" w:rsidRDefault="00A87850" w:rsidP="00A87850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D3ACB" w:rsidRDefault="00AD3ACB">
      <w:pPr>
        <w:spacing w:after="160" w:line="259" w:lineRule="auto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br w:type="page"/>
      </w:r>
    </w:p>
    <w:p w:rsidR="00AD3ACB" w:rsidRPr="009B63BB" w:rsidRDefault="00AD3ACB" w:rsidP="00AD3ACB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B5768">
        <w:rPr>
          <w:rFonts w:ascii="GHEA Grapalat" w:hAnsi="GHEA Grapalat"/>
          <w:b/>
          <w:sz w:val="24"/>
          <w:szCs w:val="24"/>
          <w:lang w:val="fr-FR"/>
        </w:rPr>
        <w:lastRenderedPageBreak/>
        <w:t xml:space="preserve">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2013 ԹՎԱԿԱՆԻ ՀՈՒՆԻՍԻ 25-Ի՝ «ՀԱՅԱՍՏԱՆԻ ՀԱՆՐԱՊԵՏՈՒԹՅԱՆ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ՌՈՒՍԱՍՏԱՆԻ ԴԱՇՆՈՒԹՅԱՆ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ՌԱԶՄԱՏԵԽՆԻԿԱԿԱՆ ՀԱՄԱԳՈՐԾԱԿՑՈՒԹՅԱՆ ԶԱՐԳԱՑՄԱՆ ՄԱՍԻՆ» ՊԱՅՄԱՆԱԳՐԻ ՇՐՋԱՆԱԿՆԵՐՈՒՄ ՄԱՏԱԿԱՐԱՐՎՈՂ ՌԱԶՄԱԿԱՆ ՆՇԱՆԱԿՈՒԹՅԱՆ ԱՐՏԱԴՐԱՆՔԻ ԱՌԿԱՅՈՒԹՅԱՆ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DB5768">
        <w:rPr>
          <w:rFonts w:ascii="GHEA Grapalat" w:hAnsi="GHEA Grapalat"/>
          <w:b/>
          <w:sz w:val="24"/>
          <w:szCs w:val="24"/>
          <w:lang w:val="fr-FR"/>
        </w:rPr>
        <w:t xml:space="preserve"> ՆՊԱՏԱԿԱՅԻՆ ՕԳՏԱԳՈՐԾՄԱՆ ՆԿԱՏՄԱՄԲ ՀՍԿՈՂՈՒԹՅԱՆ ԻՐԱԿԱՆԱՑՄԱՆ ԿԱՐԳԻ ՄԱՍԻՆ» </w:t>
      </w:r>
      <w:r w:rsidRPr="00DB5768">
        <w:rPr>
          <w:rFonts w:ascii="GHEA Grapalat" w:hAnsi="GHEA Grapalat"/>
          <w:b/>
          <w:sz w:val="24"/>
          <w:szCs w:val="24"/>
          <w:lang w:val="hy-AM"/>
        </w:rPr>
        <w:t>ՀԱՄԱՁԱՅՆԱԳԻՐ</w:t>
      </w:r>
      <w:r w:rsidRPr="00DB5768">
        <w:rPr>
          <w:rFonts w:ascii="GHEA Grapalat" w:hAnsi="GHEA Grapalat"/>
          <w:b/>
          <w:sz w:val="24"/>
          <w:szCs w:val="24"/>
          <w:lang w:val="fr-FR"/>
        </w:rPr>
        <w:t>Ը</w:t>
      </w:r>
      <w:r w:rsidRPr="00967C99">
        <w:rPr>
          <w:rFonts w:ascii="GHEA Grapalat" w:hAnsi="GHEA Grapalat"/>
          <w:b/>
          <w:sz w:val="24"/>
          <w:szCs w:val="24"/>
        </w:rPr>
        <w:t xml:space="preserve"> ՎԱՎԵՐԱՑՆԵԼՈՒ</w:t>
      </w:r>
      <w:r>
        <w:rPr>
          <w:rFonts w:ascii="GHEA Grapalat" w:hAnsi="GHEA Grapalat"/>
          <w:b/>
          <w:sz w:val="24"/>
          <w:szCs w:val="24"/>
        </w:rPr>
        <w:t xml:space="preserve"> ԿԱՊԱԿՑՈՒԹՅԱՄԲ ՆՈՐ ՕՐԵՆՔԻ ԸՆԴՈՒՆՄԱՆ ԿԱՄ ԳՈՐԾՈՂ ՕՐԵՆՔՆԵՐՈՒՄ ՓՈՓՈԽՈՒԹՅՈՒՆՆԵՐ ԿԱՏԱՐԵԼՈՒ ԱՆՀՐԱԺԵՇՏՈՒԹՅԱՆ ԲԱՑԱԿԱՅՈՒԹՅԱՆ ՄԱՍԻՆ</w:t>
      </w:r>
    </w:p>
    <w:p w:rsidR="00A87850" w:rsidRPr="00AD3ACB" w:rsidRDefault="00AD3ACB" w:rsidP="000E4BE3">
      <w:pPr>
        <w:spacing w:after="0" w:line="360" w:lineRule="auto"/>
        <w:ind w:right="-138"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2013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25-ի՝ 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Ռուսաստանի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Դաշնության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ռազմատեխնիկական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համագործակցության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Պայմանագրի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մատակարարվող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ռազմական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նշանակության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արտադրանքի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նպատակային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օգտագործման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նկատմամբ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հսկողության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կարգի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համաձայնագիր</w:t>
      </w:r>
      <w:r>
        <w:rPr>
          <w:rFonts w:ascii="GHEA Grapalat" w:hAnsi="GHEA Grapalat"/>
          <w:sz w:val="24"/>
          <w:szCs w:val="24"/>
          <w:lang w:val="fr-FR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կապակցությամբ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նոր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օրենքի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ընդունման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կամ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գործող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օրենքներում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փոփոխություններ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կատարելու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անհրաժեշտություն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 </w:t>
      </w:r>
      <w:proofErr w:type="spellStart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>չկա</w:t>
      </w:r>
      <w:proofErr w:type="spellEnd"/>
      <w:r>
        <w:rPr>
          <w:rStyle w:val="Strong"/>
          <w:rFonts w:ascii="GHEA Grapalat" w:hAnsi="GHEA Grapalat"/>
          <w:b w:val="0"/>
          <w:sz w:val="24"/>
          <w:szCs w:val="24"/>
          <w:lang w:val="en-US"/>
        </w:rPr>
        <w:t xml:space="preserve">:  </w:t>
      </w:r>
    </w:p>
    <w:sectPr w:rsidR="00A87850" w:rsidRPr="00AD3ACB" w:rsidSect="00A87850">
      <w:pgSz w:w="11907" w:h="16839" w:code="9"/>
      <w:pgMar w:top="864" w:right="864" w:bottom="864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524F"/>
    <w:rsid w:val="000E4BE3"/>
    <w:rsid w:val="0018161B"/>
    <w:rsid w:val="00472BF9"/>
    <w:rsid w:val="00482D32"/>
    <w:rsid w:val="004A524F"/>
    <w:rsid w:val="004A7D6D"/>
    <w:rsid w:val="00620B96"/>
    <w:rsid w:val="00707E27"/>
    <w:rsid w:val="0078278F"/>
    <w:rsid w:val="008000A5"/>
    <w:rsid w:val="00932947"/>
    <w:rsid w:val="00A76056"/>
    <w:rsid w:val="00A87850"/>
    <w:rsid w:val="00AD3ACB"/>
    <w:rsid w:val="00C212E2"/>
    <w:rsid w:val="00C74208"/>
    <w:rsid w:val="00CC4922"/>
    <w:rsid w:val="00CD1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34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0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A76056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A87850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14</cp:revision>
  <dcterms:created xsi:type="dcterms:W3CDTF">2017-06-29T10:36:00Z</dcterms:created>
  <dcterms:modified xsi:type="dcterms:W3CDTF">2017-07-14T08:18:00Z</dcterms:modified>
</cp:coreProperties>
</file>