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30" w:rsidRDefault="006D1E30" w:rsidP="00CC7CF5">
      <w:pPr>
        <w:pStyle w:val="Header"/>
        <w:widowControl w:val="0"/>
        <w:tabs>
          <w:tab w:val="clear" w:pos="4677"/>
          <w:tab w:val="clear" w:pos="9355"/>
        </w:tabs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Նախագիծ</w:t>
      </w:r>
    </w:p>
    <w:p w:rsidR="006D1E30" w:rsidRPr="00004DA3" w:rsidRDefault="00AE405D" w:rsidP="00CC7CF5">
      <w:pPr>
        <w:pStyle w:val="1"/>
        <w:widowControl w:val="0"/>
        <w:spacing w:after="160" w:line="360" w:lineRule="auto"/>
        <w:ind w:left="567" w:right="564"/>
        <w:contextualSpacing w:val="0"/>
        <w:jc w:val="center"/>
        <w:rPr>
          <w:rFonts w:ascii="GHEA Grapalat" w:hAnsi="GHEA Grapalat"/>
          <w:b/>
          <w:sz w:val="24"/>
          <w:szCs w:val="24"/>
        </w:rPr>
      </w:pPr>
      <w:r w:rsidRPr="00004DA3">
        <w:rPr>
          <w:rFonts w:ascii="GHEA Grapalat" w:hAnsi="GHEA Grapalat"/>
          <w:b/>
          <w:sz w:val="24"/>
          <w:szCs w:val="24"/>
        </w:rPr>
        <w:t>ՀԱՄԱՁԱՅՆԱԳԻՐ</w:t>
      </w:r>
    </w:p>
    <w:p w:rsidR="00004DA3" w:rsidRPr="00004DA3" w:rsidRDefault="00004DA3" w:rsidP="006D1E30">
      <w:pPr>
        <w:pStyle w:val="1"/>
        <w:widowControl w:val="0"/>
        <w:spacing w:after="160" w:line="360" w:lineRule="auto"/>
        <w:ind w:left="567" w:right="564"/>
        <w:contextualSpacing w:val="0"/>
        <w:jc w:val="center"/>
        <w:rPr>
          <w:rFonts w:ascii="GHEA Grapalat" w:hAnsi="GHEA Grapalat"/>
          <w:sz w:val="24"/>
          <w:szCs w:val="24"/>
        </w:rPr>
      </w:pPr>
      <w:r w:rsidRPr="00004DA3">
        <w:rPr>
          <w:rFonts w:ascii="GHEA Grapalat" w:hAnsi="GHEA Grapalat"/>
          <w:sz w:val="24"/>
          <w:szCs w:val="24"/>
        </w:rPr>
        <w:t>Մտավոր սեփականությ</w:t>
      </w:r>
      <w:r w:rsidR="00916F94">
        <w:rPr>
          <w:rFonts w:ascii="GHEA Grapalat" w:hAnsi="GHEA Grapalat"/>
          <w:sz w:val="24"/>
          <w:szCs w:val="24"/>
        </w:rPr>
        <w:t>ան օբյեկտների նկատմամբ իրավունք</w:t>
      </w:r>
      <w:bookmarkStart w:id="0" w:name="_GoBack"/>
      <w:bookmarkEnd w:id="0"/>
      <w:r w:rsidRPr="00004DA3">
        <w:rPr>
          <w:rFonts w:ascii="GHEA Grapalat" w:hAnsi="GHEA Grapalat"/>
          <w:sz w:val="24"/>
          <w:szCs w:val="24"/>
        </w:rPr>
        <w:t xml:space="preserve">ների պաշտպանության ոլորտում Անկախ պետությունների համագործակցության մասնակից պետությունների մաքսային մարմինների </w:t>
      </w:r>
      <w:proofErr w:type="spellStart"/>
      <w:r w:rsidRPr="00004DA3">
        <w:rPr>
          <w:rFonts w:ascii="GHEA Grapalat" w:hAnsi="GHEA Grapalat"/>
          <w:sz w:val="24"/>
          <w:szCs w:val="24"/>
        </w:rPr>
        <w:t>փոխգործակցության</w:t>
      </w:r>
      <w:proofErr w:type="spellEnd"/>
      <w:r w:rsidRPr="00004DA3">
        <w:rPr>
          <w:rFonts w:ascii="GHEA Grapalat" w:hAnsi="GHEA Grapalat"/>
          <w:sz w:val="24"/>
          <w:szCs w:val="24"/>
        </w:rPr>
        <w:t xml:space="preserve"> մասին</w:t>
      </w:r>
    </w:p>
    <w:p w:rsidR="00AE405D" w:rsidRPr="006D1E30" w:rsidRDefault="00AE405D" w:rsidP="006D1E30">
      <w:pPr>
        <w:pStyle w:val="1"/>
        <w:widowControl w:val="0"/>
        <w:spacing w:after="160" w:line="360" w:lineRule="auto"/>
        <w:ind w:left="0"/>
        <w:contextualSpacing w:val="0"/>
        <w:jc w:val="center"/>
        <w:rPr>
          <w:rFonts w:ascii="GHEA Grapalat" w:hAnsi="GHEA Grapalat"/>
          <w:b/>
          <w:sz w:val="24"/>
          <w:szCs w:val="24"/>
        </w:rPr>
      </w:pP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Անկախ </w:t>
      </w:r>
      <w:r w:rsidR="00CD0927">
        <w:rPr>
          <w:rFonts w:ascii="GHEA Grapalat" w:hAnsi="GHEA Grapalat"/>
          <w:sz w:val="24"/>
          <w:szCs w:val="24"/>
        </w:rPr>
        <w:t>պ</w:t>
      </w:r>
      <w:r w:rsidRPr="006D1E30">
        <w:rPr>
          <w:rFonts w:ascii="GHEA Grapalat" w:hAnsi="GHEA Grapalat"/>
          <w:sz w:val="24"/>
          <w:szCs w:val="24"/>
        </w:rPr>
        <w:t xml:space="preserve">ետությունների </w:t>
      </w:r>
      <w:r w:rsidR="00CD0927">
        <w:rPr>
          <w:rFonts w:ascii="GHEA Grapalat" w:hAnsi="GHEA Grapalat"/>
          <w:sz w:val="24"/>
          <w:szCs w:val="24"/>
        </w:rPr>
        <w:t>հ</w:t>
      </w:r>
      <w:r w:rsidRPr="006D1E30">
        <w:rPr>
          <w:rFonts w:ascii="GHEA Grapalat" w:hAnsi="GHEA Grapalat"/>
          <w:sz w:val="24"/>
          <w:szCs w:val="24"/>
        </w:rPr>
        <w:t>ամագործակցության (այսուհետ՝ ԱՊՀ) մասնակից պետությունների կառավարությունները, այսուհետ՝ Կողմեր,</w:t>
      </w: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ելնելով «Մաքսային գործերում համագործակցության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փոխօգնության մասին» 1994 թվականի ապրիլի 15-ի համաձայնագրի դրույթներից,</w:t>
      </w: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հիմնվելով մտավոր սեփականության իրավական պահպանության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պաշտպանության ոլորտում միջազգային իրավունքի նորմերի վրա,</w:t>
      </w: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մտահոգություն հայտնելով նմանակված (կոնտրաֆակտ) ապրանքների միջազգային տարածման մասշտաբների առնչությամբ, </w:t>
      </w:r>
      <w:r w:rsidR="00D5247A" w:rsidRPr="006D1E30">
        <w:rPr>
          <w:rFonts w:ascii="GHEA Grapalat" w:hAnsi="GHEA Grapalat"/>
          <w:sz w:val="24"/>
          <w:szCs w:val="24"/>
        </w:rPr>
        <w:t xml:space="preserve">ինչը </w:t>
      </w:r>
      <w:r w:rsidRPr="006D1E30">
        <w:rPr>
          <w:rFonts w:ascii="GHEA Grapalat" w:hAnsi="GHEA Grapalat"/>
          <w:sz w:val="24"/>
          <w:szCs w:val="24"/>
        </w:rPr>
        <w:t xml:space="preserve">վնաս է հասցնում սույն համաձայնագրի մասնակից պետությունների տնտեսությանը, օրինական ձեռնարկատիրական գործունեությանը, մշակութային զարգացմանը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գիտատեխնիկական առաջընթացին, ինչպես նա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սպառնում է սպառողների անվտանգությանը, կյանքին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առողջությանը,</w:t>
      </w: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գիտակցելով մտավոր սեփականության օբյեկտների նկատմամբ իրավունքների պաշտպանությանը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նմանակված (կոնտրաֆակտ) ապրանքների միջազգային իրացման հակազդմանն ուղղված միջոցներ ձեռնարկելիս սույն համաձայնագրի մասնակից պետությունների համագործակցության անհրաժեշտությունը,</w:t>
      </w:r>
    </w:p>
    <w:p w:rsidR="00AE405D" w:rsidRPr="006D1E30" w:rsidRDefault="00AE405D" w:rsidP="006D1E30">
      <w:pPr>
        <w:widowControl w:val="0"/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վստահ լինելով, որ մտավոր սեփականության օբյեկտների նկատմամբ </w:t>
      </w:r>
      <w:r w:rsidRPr="006D1E30">
        <w:rPr>
          <w:rFonts w:ascii="GHEA Grapalat" w:hAnsi="GHEA Grapalat"/>
          <w:sz w:val="24"/>
          <w:szCs w:val="24"/>
        </w:rPr>
        <w:lastRenderedPageBreak/>
        <w:t>իրավունքների խախտումների դեմ պայքարում համագործակցությունը կնպաստի սույն համաձայնագրի մասնակից պետությունների միջ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ապրանքների ներմուծման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արտահանման ընթացակարգերի դյուրացմանն ու արագացմանը՝ միջազգային չափանիշներին համապատասխան, </w:t>
      </w:r>
    </w:p>
    <w:p w:rsidR="00AE405D" w:rsidRPr="00CC7CF5" w:rsidRDefault="00AE405D" w:rsidP="00BB0969">
      <w:pPr>
        <w:pStyle w:val="1"/>
        <w:widowControl w:val="0"/>
        <w:spacing w:after="160" w:line="346" w:lineRule="auto"/>
        <w:ind w:left="0" w:firstLine="567"/>
        <w:contextualSpacing w:val="0"/>
        <w:jc w:val="both"/>
        <w:rPr>
          <w:rFonts w:ascii="GHEA Grapalat" w:hAnsi="GHEA Grapalat"/>
          <w:b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համաձայնեցին հետ</w:t>
      </w:r>
      <w:r w:rsidR="00AD7BD4" w:rsidRPr="006D1E30">
        <w:rPr>
          <w:rFonts w:ascii="GHEA Grapalat" w:hAnsi="GHEA Grapalat"/>
          <w:b/>
          <w:sz w:val="24"/>
          <w:szCs w:val="24"/>
        </w:rPr>
        <w:t>եւ</w:t>
      </w:r>
      <w:r w:rsidRPr="006D1E30">
        <w:rPr>
          <w:rFonts w:ascii="GHEA Grapalat" w:hAnsi="GHEA Grapalat"/>
          <w:b/>
          <w:sz w:val="24"/>
          <w:szCs w:val="24"/>
        </w:rPr>
        <w:t>յալի մասին՝</w:t>
      </w:r>
    </w:p>
    <w:p w:rsidR="006D1E30" w:rsidRPr="00CC7CF5" w:rsidRDefault="006D1E30" w:rsidP="006D1E30">
      <w:pPr>
        <w:pStyle w:val="1"/>
        <w:widowControl w:val="0"/>
        <w:spacing w:after="160" w:line="346" w:lineRule="auto"/>
        <w:ind w:left="0"/>
        <w:contextualSpacing w:val="0"/>
        <w:jc w:val="both"/>
        <w:rPr>
          <w:rFonts w:ascii="GHEA Grapalat" w:hAnsi="GHEA Grapalat"/>
          <w:b/>
          <w:sz w:val="24"/>
          <w:szCs w:val="24"/>
        </w:rPr>
      </w:pPr>
    </w:p>
    <w:p w:rsidR="00AE405D" w:rsidRPr="006D1E30" w:rsidRDefault="00AE405D" w:rsidP="006D1E30">
      <w:pPr>
        <w:pStyle w:val="1"/>
        <w:widowControl w:val="0"/>
        <w:spacing w:after="160" w:line="346" w:lineRule="auto"/>
        <w:ind w:left="0"/>
        <w:contextualSpacing w:val="0"/>
        <w:jc w:val="center"/>
        <w:rPr>
          <w:rFonts w:ascii="GHEA Grapalat" w:hAnsi="GHEA Grapalat"/>
          <w:b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Հոդված 1</w:t>
      </w:r>
    </w:p>
    <w:p w:rsidR="00AE405D" w:rsidRPr="006D1E30" w:rsidRDefault="00AE405D" w:rsidP="006D1E30">
      <w:pPr>
        <w:pStyle w:val="1"/>
        <w:widowControl w:val="0"/>
        <w:spacing w:after="160" w:line="346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Սույն համաձայնագրում գործածվող եզրույթներն ունեն հետ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>յալ իմաստը՝</w:t>
      </w:r>
    </w:p>
    <w:p w:rsidR="00AE405D" w:rsidRPr="006D1E30" w:rsidRDefault="00AE405D" w:rsidP="006D1E30">
      <w:pPr>
        <w:pStyle w:val="1"/>
        <w:widowControl w:val="0"/>
        <w:spacing w:after="160" w:line="346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«Կողմերի իրավասու մարմիններ»՝</w:t>
      </w:r>
      <w:r w:rsidRPr="006D1E30">
        <w:rPr>
          <w:rFonts w:ascii="GHEA Grapalat" w:hAnsi="GHEA Grapalat"/>
          <w:sz w:val="24"/>
          <w:szCs w:val="24"/>
        </w:rPr>
        <w:t xml:space="preserve"> սույն համաձայնագրի մասնակից պետությունների կենտրոնական մաքսային մարմիններ (մաքսային գործի բնագավառում լիազորված մարմիններ), որոնք պատասխանատու են սույն համաձայնագրի իրականացման համար.</w:t>
      </w:r>
    </w:p>
    <w:p w:rsidR="00AE405D" w:rsidRPr="006D1E30" w:rsidRDefault="00AE405D" w:rsidP="006D1E30">
      <w:pPr>
        <w:pStyle w:val="1"/>
        <w:widowControl w:val="0"/>
        <w:spacing w:after="160" w:line="346" w:lineRule="auto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«նմանակված (կոնտրաֆակտ) ապրանքներ»՝</w:t>
      </w:r>
      <w:r w:rsidRPr="006D1E30">
        <w:rPr>
          <w:rFonts w:ascii="GHEA Grapalat" w:hAnsi="GHEA Grapalat"/>
          <w:sz w:val="24"/>
          <w:szCs w:val="24"/>
        </w:rPr>
        <w:t xml:space="preserve"> ապրանքներ, որոնք պարունակում են մտավոր սեփականության օբյեկտներ (հեղինակային իրավունքի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հարակից իրավունքների օբյեկտներ, ապրանքային նշաններ, աշխարհագրական նշումներ, ապրանքների ծագման վայրերի անվանումներ), ստեղծվել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(կամ) սույն համաձայնագրի մասնակից պետությունների մաքսային սահմանով տեղափոխվում են սույն համաձայնագրի մասնակից պետությունների օրենսդրությամբ նախատեսված՝ իրավատիրոջ իրավունքների խախտմամբ</w:t>
      </w:r>
      <w:r w:rsidR="00737D45" w:rsidRPr="006D1E30">
        <w:rPr>
          <w:rFonts w:ascii="GHEA Grapalat" w:hAnsi="GHEA Grapalat"/>
          <w:sz w:val="24"/>
          <w:szCs w:val="24"/>
        </w:rPr>
        <w:t>.</w:t>
      </w:r>
      <w:r w:rsidRPr="006D1E30">
        <w:rPr>
          <w:rFonts w:ascii="GHEA Grapalat" w:hAnsi="GHEA Grapalat"/>
          <w:sz w:val="24"/>
          <w:szCs w:val="24"/>
          <w:cs/>
        </w:rPr>
        <w:t xml:space="preserve"> </w:t>
      </w:r>
    </w:p>
    <w:p w:rsidR="00AE405D" w:rsidRPr="00CC7CF5" w:rsidRDefault="00AE405D" w:rsidP="006D1E30">
      <w:pPr>
        <w:widowControl w:val="0"/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«մտավոր սեփականություն»՝</w:t>
      </w:r>
      <w:r w:rsidRPr="006D1E30">
        <w:rPr>
          <w:rFonts w:ascii="GHEA Grapalat" w:hAnsi="GHEA Grapalat"/>
          <w:sz w:val="24"/>
          <w:szCs w:val="24"/>
        </w:rPr>
        <w:t xml:space="preserve"> պետք է հասկանալ այն իմաստով, որը նշված է Մտավոր սեփականության համաշխարհային կազմակերպությունը հիմնադրող՝ 1967 թվականի հուլիսի 14-ի կոնվենցիայի 2-րդ հոդվածում։</w:t>
      </w:r>
    </w:p>
    <w:p w:rsidR="006D1E30" w:rsidRPr="00CC7CF5" w:rsidRDefault="006D1E30" w:rsidP="006D1E30">
      <w:pPr>
        <w:widowControl w:val="0"/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AE405D" w:rsidRPr="006D1E30" w:rsidRDefault="00AE405D" w:rsidP="006D1E30">
      <w:pPr>
        <w:pStyle w:val="1"/>
        <w:widowControl w:val="0"/>
        <w:spacing w:after="160" w:line="346" w:lineRule="auto"/>
        <w:ind w:left="0"/>
        <w:contextualSpacing w:val="0"/>
        <w:jc w:val="center"/>
        <w:rPr>
          <w:rFonts w:ascii="GHEA Grapalat" w:hAnsi="GHEA Grapalat"/>
          <w:b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Հոդված 2</w:t>
      </w:r>
    </w:p>
    <w:p w:rsidR="00AE405D" w:rsidRPr="006D1E30" w:rsidRDefault="00AE405D" w:rsidP="003C44BB">
      <w:pPr>
        <w:widowControl w:val="0"/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Սույն համաձայնագրի առարկան Կողմերի իրավասու մարմինների փոխգործակցության կազմակերպումն է՝ մտավոր սեփականության օբյեկտների </w:t>
      </w:r>
      <w:r w:rsidRPr="006D1E30">
        <w:rPr>
          <w:rFonts w:ascii="GHEA Grapalat" w:hAnsi="GHEA Grapalat"/>
          <w:sz w:val="24"/>
          <w:szCs w:val="24"/>
        </w:rPr>
        <w:lastRenderedPageBreak/>
        <w:t>նկատմամբ իրավունքների պաշտպանության ոլորտում համագործակցության զարգացմանն ուղղված միջոցներ</w:t>
      </w:r>
      <w:r w:rsidR="00737D45" w:rsidRPr="006D1E30">
        <w:rPr>
          <w:rFonts w:ascii="GHEA Grapalat" w:hAnsi="GHEA Grapalat"/>
          <w:sz w:val="24"/>
          <w:szCs w:val="24"/>
        </w:rPr>
        <w:t>ն</w:t>
      </w:r>
      <w:r w:rsidRPr="006D1E30">
        <w:rPr>
          <w:rFonts w:ascii="GHEA Grapalat" w:hAnsi="GHEA Grapalat"/>
          <w:sz w:val="24"/>
          <w:szCs w:val="24"/>
        </w:rPr>
        <w:t xml:space="preserve"> իրականաց</w:t>
      </w:r>
      <w:r w:rsidR="00737D45" w:rsidRPr="006D1E30">
        <w:rPr>
          <w:rFonts w:ascii="GHEA Grapalat" w:hAnsi="GHEA Grapalat"/>
          <w:sz w:val="24"/>
          <w:szCs w:val="24"/>
        </w:rPr>
        <w:t>նելու</w:t>
      </w:r>
      <w:r w:rsidRPr="006D1E30">
        <w:rPr>
          <w:rFonts w:ascii="GHEA Grapalat" w:hAnsi="GHEA Grapalat"/>
          <w:sz w:val="24"/>
          <w:szCs w:val="24"/>
        </w:rPr>
        <w:t xml:space="preserve"> նպատակով։</w:t>
      </w:r>
    </w:p>
    <w:p w:rsidR="00AE405D" w:rsidRPr="006D1E30" w:rsidRDefault="00AE405D" w:rsidP="006D1E30">
      <w:pPr>
        <w:pStyle w:val="1"/>
        <w:widowControl w:val="0"/>
        <w:spacing w:after="160" w:line="360" w:lineRule="auto"/>
        <w:ind w:left="0"/>
        <w:contextualSpacing w:val="0"/>
        <w:jc w:val="center"/>
        <w:rPr>
          <w:rFonts w:ascii="GHEA Grapalat" w:hAnsi="GHEA Grapalat"/>
          <w:b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Հոդված 3</w:t>
      </w: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Մտավոր սեփականության օբյեկտների նկատմամբ իրավունքների պաշտպանության կազմակերպումն ապահովելու նպատակով Կողմերի իրավասու մարմինները համագործակցում են հետ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>յալ ձ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>ով՝</w:t>
      </w:r>
    </w:p>
    <w:p w:rsidR="00AE405D" w:rsidRPr="006D1E30" w:rsidRDefault="000B0E32" w:rsidP="006D1E30">
      <w:pPr>
        <w:widowControl w:val="0"/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տեղեկատվության փոխանակում</w:t>
      </w:r>
      <w:r w:rsidRPr="006D1E30" w:rsidDel="000B0E32">
        <w:rPr>
          <w:rFonts w:ascii="GHEA Grapalat" w:hAnsi="GHEA Grapalat"/>
          <w:sz w:val="24"/>
          <w:szCs w:val="24"/>
        </w:rPr>
        <w:t xml:space="preserve"> </w:t>
      </w:r>
      <w:r w:rsidR="00AE405D" w:rsidRPr="006D1E30">
        <w:rPr>
          <w:rFonts w:ascii="GHEA Grapalat" w:hAnsi="GHEA Grapalat"/>
          <w:sz w:val="24"/>
          <w:szCs w:val="24"/>
        </w:rPr>
        <w:t>մտավոր սեփականության օբյեկտների նկատմամբ իրավունքների պաշտպանության կազմակերպման մասով</w:t>
      </w:r>
      <w:r w:rsidRPr="006D1E30">
        <w:rPr>
          <w:rFonts w:ascii="GHEA Grapalat" w:hAnsi="GHEA Grapalat"/>
          <w:sz w:val="24"/>
          <w:szCs w:val="24"/>
        </w:rPr>
        <w:t xml:space="preserve"> իրենց պետությունների օրենսդրության մասին՝ հարցման հիման վրա կամ սեփական նախաձեռնությամբ</w:t>
      </w:r>
      <w:r w:rsidR="004C2154" w:rsidRPr="006D1E30">
        <w:rPr>
          <w:rFonts w:ascii="GHEA Grapalat" w:hAnsi="GHEA Grapalat"/>
          <w:sz w:val="24"/>
          <w:szCs w:val="24"/>
        </w:rPr>
        <w:t>.</w:t>
      </w:r>
    </w:p>
    <w:p w:rsidR="00AE405D" w:rsidRPr="006D1E30" w:rsidRDefault="00AE405D" w:rsidP="006D1E30">
      <w:pPr>
        <w:widowControl w:val="0"/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ուսումնական, մեթոդական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հատուկ նյութերի փոխանակում</w:t>
      </w:r>
      <w:r w:rsidR="004C2154" w:rsidRPr="006D1E30">
        <w:rPr>
          <w:rFonts w:ascii="GHEA Grapalat" w:hAnsi="GHEA Grapalat"/>
          <w:sz w:val="24"/>
          <w:szCs w:val="24"/>
        </w:rPr>
        <w:t>.</w:t>
      </w:r>
    </w:p>
    <w:p w:rsidR="00AE405D" w:rsidRPr="006D1E30" w:rsidRDefault="000B0E32" w:rsidP="006D1E30">
      <w:pPr>
        <w:widowControl w:val="0"/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  <w:i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փորձի փոխանակում </w:t>
      </w:r>
      <w:r w:rsidR="00AE405D" w:rsidRPr="006D1E30">
        <w:rPr>
          <w:rFonts w:ascii="GHEA Grapalat" w:hAnsi="GHEA Grapalat"/>
          <w:sz w:val="24"/>
          <w:szCs w:val="24"/>
        </w:rPr>
        <w:t xml:space="preserve">մտավոր սեփականության ոլորտում իրավախախտումների կանխարգելման, բացահայտման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="00AE405D" w:rsidRPr="006D1E30">
        <w:rPr>
          <w:rFonts w:ascii="GHEA Grapalat" w:hAnsi="GHEA Grapalat"/>
          <w:sz w:val="24"/>
          <w:szCs w:val="24"/>
        </w:rPr>
        <w:t xml:space="preserve"> կանխման մասով</w:t>
      </w:r>
      <w:r w:rsidR="004C2154" w:rsidRPr="006D1E30">
        <w:rPr>
          <w:rFonts w:ascii="GHEA Grapalat" w:hAnsi="GHEA Grapalat"/>
          <w:sz w:val="24"/>
          <w:szCs w:val="24"/>
        </w:rPr>
        <w:t>.</w:t>
      </w:r>
    </w:p>
    <w:p w:rsidR="00AE405D" w:rsidRPr="006D1E30" w:rsidRDefault="000B0E32" w:rsidP="006D1E30">
      <w:pPr>
        <w:widowControl w:val="0"/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տեղեկատվության փոխանակում </w:t>
      </w:r>
      <w:r w:rsidR="00AE405D" w:rsidRPr="006D1E30">
        <w:rPr>
          <w:rFonts w:ascii="GHEA Grapalat" w:hAnsi="GHEA Grapalat"/>
          <w:sz w:val="24"/>
          <w:szCs w:val="24"/>
        </w:rPr>
        <w:t>սույն համաձայնագրի մասնակից պետությունների փոխադարձ առ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="00AE405D" w:rsidRPr="006D1E30">
        <w:rPr>
          <w:rFonts w:ascii="GHEA Grapalat" w:hAnsi="GHEA Grapalat"/>
          <w:sz w:val="24"/>
          <w:szCs w:val="24"/>
        </w:rPr>
        <w:t>տրում ապրանքների՝ մտավոր սեփականության ոլորտում օրենսդրության խախտմամբ տեղափոխման բացահայտված փաստերի մասին</w:t>
      </w:r>
      <w:r w:rsidR="004C2154" w:rsidRPr="006D1E30">
        <w:rPr>
          <w:rFonts w:ascii="GHEA Grapalat" w:hAnsi="GHEA Grapalat"/>
          <w:sz w:val="24"/>
          <w:szCs w:val="24"/>
        </w:rPr>
        <w:t>.</w:t>
      </w:r>
    </w:p>
    <w:p w:rsidR="00AE405D" w:rsidRPr="006D1E30" w:rsidRDefault="000B0E32" w:rsidP="006D1E30">
      <w:pPr>
        <w:widowControl w:val="0"/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տեղեկատվության փոխանակում </w:t>
      </w:r>
      <w:r w:rsidR="00AE405D" w:rsidRPr="006D1E30">
        <w:rPr>
          <w:rFonts w:ascii="GHEA Grapalat" w:hAnsi="GHEA Grapalat"/>
          <w:sz w:val="24"/>
          <w:szCs w:val="24"/>
        </w:rPr>
        <w:t>այն ապրանքների մասին, որոնց մասով կասկած կա, որ դրանց տեղափոխումը կարող է իրականացվել մտավոր սեփականության ոլորտում օրենսդրության խախտմամբ</w:t>
      </w:r>
      <w:r w:rsidR="004C2154" w:rsidRPr="006D1E30">
        <w:rPr>
          <w:rFonts w:ascii="GHEA Grapalat" w:hAnsi="GHEA Grapalat"/>
          <w:sz w:val="24"/>
          <w:szCs w:val="24"/>
        </w:rPr>
        <w:t>.</w:t>
      </w:r>
    </w:p>
    <w:p w:rsidR="00AE405D" w:rsidRPr="006D1E30" w:rsidRDefault="00AE405D" w:rsidP="006D1E30">
      <w:pPr>
        <w:widowControl w:val="0"/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կապերի ամրապնդում, համատեղ ուսումնասիրությունների անցկացում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կարծիքների փոխանակում</w:t>
      </w:r>
      <w:r w:rsidR="000B0E32" w:rsidRPr="006D1E30">
        <w:rPr>
          <w:rFonts w:ascii="GHEA Grapalat" w:hAnsi="GHEA Grapalat"/>
          <w:sz w:val="24"/>
          <w:szCs w:val="24"/>
        </w:rPr>
        <w:t xml:space="preserve"> մտավոր սեփականության օբյեկտների նկատմամբ իրավունքների պաշտպանության ոլորտում</w:t>
      </w:r>
      <w:r w:rsidRPr="006D1E30">
        <w:rPr>
          <w:rFonts w:ascii="GHEA Grapalat" w:hAnsi="GHEA Grapalat"/>
          <w:sz w:val="24"/>
          <w:szCs w:val="24"/>
        </w:rPr>
        <w:t xml:space="preserve">, այդ թվում՝ համատեղ համաժողովների, սեմինարների, խորհրդակցությունների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այլ միջոցառումների կազմակերպման միջոցով.</w:t>
      </w:r>
      <w:r w:rsidR="000B0E32" w:rsidRPr="006D1E30">
        <w:rPr>
          <w:rFonts w:ascii="GHEA Grapalat" w:hAnsi="GHEA Grapalat"/>
          <w:sz w:val="24"/>
          <w:szCs w:val="24"/>
        </w:rPr>
        <w:t xml:space="preserve"> </w:t>
      </w:r>
    </w:p>
    <w:p w:rsidR="00AE405D" w:rsidRPr="006D1E30" w:rsidRDefault="000B0E32" w:rsidP="006D1E30">
      <w:pPr>
        <w:widowControl w:val="0"/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lastRenderedPageBreak/>
        <w:t xml:space="preserve">աջակցություն </w:t>
      </w:r>
      <w:r w:rsidR="00AE405D" w:rsidRPr="006D1E30">
        <w:rPr>
          <w:rFonts w:ascii="GHEA Grapalat" w:hAnsi="GHEA Grapalat"/>
          <w:sz w:val="24"/>
          <w:szCs w:val="24"/>
        </w:rPr>
        <w:t xml:space="preserve">կադրերի մասնագիտական պատրաստման, վերապատրաստման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="00AE405D" w:rsidRPr="006D1E30">
        <w:rPr>
          <w:rFonts w:ascii="GHEA Grapalat" w:hAnsi="GHEA Grapalat"/>
          <w:sz w:val="24"/>
          <w:szCs w:val="24"/>
        </w:rPr>
        <w:t xml:space="preserve"> որակավորման բարձրացման հարցում, որոնք անցկացվում են ինչպես բազմակողմ, այնպես էլ երկկողմ հիմունքներով։</w:t>
      </w:r>
    </w:p>
    <w:p w:rsidR="00AE405D" w:rsidRPr="00CC7CF5" w:rsidRDefault="00AE405D" w:rsidP="006D1E30">
      <w:pPr>
        <w:widowControl w:val="0"/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Կողմերի իրավասու մարմինները կարող են փոխադարձ հիմունք</w:t>
      </w:r>
      <w:r w:rsidR="004344D3" w:rsidRPr="006D1E30">
        <w:rPr>
          <w:rFonts w:ascii="GHEA Grapalat" w:hAnsi="GHEA Grapalat"/>
          <w:sz w:val="24"/>
          <w:szCs w:val="24"/>
        </w:rPr>
        <w:t>ներ</w:t>
      </w:r>
      <w:r w:rsidRPr="006D1E30">
        <w:rPr>
          <w:rFonts w:ascii="GHEA Grapalat" w:hAnsi="GHEA Grapalat"/>
          <w:sz w:val="24"/>
          <w:szCs w:val="24"/>
        </w:rPr>
        <w:t>ով համաձայնեցնել սույն հոդվածի իրականացման հետ կապված տեղեկատվության փոխանակման ձ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երը, ծավալները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ժամկետները։</w:t>
      </w:r>
    </w:p>
    <w:p w:rsidR="006D1E30" w:rsidRPr="00004DA3" w:rsidRDefault="006D1E30" w:rsidP="006D1E30">
      <w:pPr>
        <w:widowControl w:val="0"/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  <w:sz w:val="16"/>
          <w:szCs w:val="16"/>
        </w:rPr>
      </w:pPr>
    </w:p>
    <w:p w:rsidR="00AE405D" w:rsidRPr="006D1E30" w:rsidRDefault="00AE405D" w:rsidP="006D1E30">
      <w:pPr>
        <w:pStyle w:val="1"/>
        <w:widowControl w:val="0"/>
        <w:spacing w:after="160" w:line="360" w:lineRule="auto"/>
        <w:ind w:left="0"/>
        <w:contextualSpacing w:val="0"/>
        <w:jc w:val="center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Հոդված 4</w:t>
      </w:r>
    </w:p>
    <w:p w:rsidR="00AE405D" w:rsidRPr="00BB0969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Սույն համաձայնագրի շրջանակներում ստացված ցանկացած տեղեկատվություն օգտագործվում է բացառապես Կողմերի իրավասու մարմինների կողմից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միայն սույն համաձայնագրի նպատակներով։ Այլ</w:t>
      </w:r>
      <w:r w:rsidR="00BB0969" w:rsidRPr="00BB0969">
        <w:rPr>
          <w:rFonts w:ascii="Courier New" w:hAnsi="Courier New" w:cs="Courier New"/>
          <w:sz w:val="24"/>
          <w:szCs w:val="24"/>
        </w:rPr>
        <w:t> </w:t>
      </w:r>
      <w:r w:rsidRPr="006D1E30">
        <w:rPr>
          <w:rFonts w:ascii="GHEA Grapalat" w:hAnsi="GHEA Grapalat"/>
          <w:sz w:val="24"/>
          <w:szCs w:val="24"/>
        </w:rPr>
        <w:t xml:space="preserve">նպատակներով այն կարող է փոխանցվել կամ օգտագործվել միայն այն դեպքում, եթե այդ տեղեկատվությունը տրամադրած Կողմի իրավասու մարմինը դրա համար տվել է իր </w:t>
      </w:r>
      <w:r w:rsidR="008B3342" w:rsidRPr="006D1E30">
        <w:rPr>
          <w:rFonts w:ascii="GHEA Grapalat" w:hAnsi="GHEA Grapalat"/>
          <w:sz w:val="24"/>
          <w:szCs w:val="24"/>
        </w:rPr>
        <w:t xml:space="preserve">գրավոր </w:t>
      </w:r>
      <w:r w:rsidRPr="006D1E30">
        <w:rPr>
          <w:rFonts w:ascii="GHEA Grapalat" w:hAnsi="GHEA Grapalat"/>
          <w:sz w:val="24"/>
          <w:szCs w:val="24"/>
        </w:rPr>
        <w:t>համաձայնությունը։</w:t>
      </w:r>
    </w:p>
    <w:p w:rsidR="006D1E30" w:rsidRPr="00004DA3" w:rsidRDefault="006D1E30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16"/>
          <w:szCs w:val="16"/>
        </w:rPr>
      </w:pPr>
    </w:p>
    <w:p w:rsidR="00AE405D" w:rsidRPr="006D1E30" w:rsidRDefault="00AE405D" w:rsidP="006D1E30">
      <w:pPr>
        <w:pStyle w:val="1"/>
        <w:widowControl w:val="0"/>
        <w:spacing w:after="160" w:line="360" w:lineRule="auto"/>
        <w:ind w:left="0"/>
        <w:contextualSpacing w:val="0"/>
        <w:jc w:val="center"/>
        <w:rPr>
          <w:rFonts w:ascii="GHEA Grapalat" w:hAnsi="GHEA Grapalat"/>
          <w:b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Հոդված 5</w:t>
      </w:r>
    </w:p>
    <w:p w:rsidR="00AE405D" w:rsidRPr="00CC7CF5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Կողմերի իրավասու մարմիններն իրենց պետությունների զանգվածային լրատվության միջոցներով լուսաբանում են մտավոր սեփականության օբյեկտների նկատմամբ իրավունքների խախտումների կանխարգելման, բացահայտման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կանխման մասով կատարված աշխատանքի դրական փորձը։</w:t>
      </w:r>
    </w:p>
    <w:p w:rsidR="006D1E30" w:rsidRPr="00004DA3" w:rsidRDefault="006D1E30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16"/>
          <w:szCs w:val="16"/>
        </w:rPr>
      </w:pPr>
    </w:p>
    <w:p w:rsidR="00AE405D" w:rsidRPr="006D1E30" w:rsidRDefault="00AE405D" w:rsidP="006D1E30">
      <w:pPr>
        <w:pStyle w:val="1"/>
        <w:widowControl w:val="0"/>
        <w:spacing w:after="160" w:line="360" w:lineRule="auto"/>
        <w:ind w:left="0"/>
        <w:contextualSpacing w:val="0"/>
        <w:jc w:val="center"/>
        <w:rPr>
          <w:rFonts w:ascii="GHEA Grapalat" w:hAnsi="GHEA Grapalat"/>
          <w:b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Հոդված 6</w:t>
      </w:r>
    </w:p>
    <w:p w:rsidR="00AE405D" w:rsidRPr="00CC7CF5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Կողմերի համաձայնությամբ</w:t>
      </w:r>
      <w:r w:rsidR="004309B5" w:rsidRPr="006D1E30">
        <w:rPr>
          <w:rFonts w:ascii="GHEA Grapalat" w:hAnsi="GHEA Grapalat"/>
          <w:sz w:val="24"/>
          <w:szCs w:val="24"/>
        </w:rPr>
        <w:t>՝</w:t>
      </w:r>
      <w:r w:rsidRPr="006D1E30">
        <w:rPr>
          <w:rFonts w:ascii="GHEA Grapalat" w:hAnsi="GHEA Grapalat"/>
          <w:sz w:val="24"/>
          <w:szCs w:val="24"/>
        </w:rPr>
        <w:t xml:space="preserve"> սույն համաձայնագրում կարող են կատարվել </w:t>
      </w:r>
      <w:r w:rsidRPr="00BB0969">
        <w:rPr>
          <w:rFonts w:ascii="GHEA Grapalat" w:hAnsi="GHEA Grapalat"/>
          <w:spacing w:val="-6"/>
          <w:sz w:val="24"/>
          <w:szCs w:val="24"/>
        </w:rPr>
        <w:t>դրա անբաժանելի մասը հանդիսացող փոփոխություններ, որոնք ձ</w:t>
      </w:r>
      <w:r w:rsidR="00AD7BD4" w:rsidRPr="00BB0969">
        <w:rPr>
          <w:rFonts w:ascii="GHEA Grapalat" w:hAnsi="GHEA Grapalat"/>
          <w:spacing w:val="-6"/>
          <w:sz w:val="24"/>
          <w:szCs w:val="24"/>
        </w:rPr>
        <w:t>եւ</w:t>
      </w:r>
      <w:r w:rsidRPr="00BB0969">
        <w:rPr>
          <w:rFonts w:ascii="GHEA Grapalat" w:hAnsi="GHEA Grapalat"/>
          <w:spacing w:val="-6"/>
          <w:sz w:val="24"/>
          <w:szCs w:val="24"/>
        </w:rPr>
        <w:t>ակերպվում են համապատասխան արձանագրությամբ։</w:t>
      </w:r>
    </w:p>
    <w:p w:rsidR="00004DA3" w:rsidRPr="00004DA3" w:rsidRDefault="00004DA3" w:rsidP="00004DA3">
      <w:pPr>
        <w:spacing w:after="0" w:line="240" w:lineRule="auto"/>
        <w:jc w:val="center"/>
        <w:rPr>
          <w:rFonts w:ascii="GHEA Grapalat" w:hAnsi="GHEA Grapalat"/>
          <w:b/>
          <w:sz w:val="16"/>
          <w:szCs w:val="16"/>
        </w:rPr>
      </w:pPr>
    </w:p>
    <w:p w:rsidR="00AE405D" w:rsidRPr="006D1E30" w:rsidRDefault="00AE405D" w:rsidP="00004DA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lastRenderedPageBreak/>
        <w:t>Հոդված 7</w:t>
      </w: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Սույն համաձայնագրի մեկնաբանման կամ կիրառման կապակցությամբ ծագած հնարավոր տարաձայնությունները կարգավորվում են Կողմերի իրավասու մարմինների միջ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խորհրդակցությունների </w:t>
      </w:r>
      <w:r w:rsidR="00AD7BD4" w:rsidRPr="006D1E30">
        <w:rPr>
          <w:rFonts w:ascii="GHEA Grapalat" w:hAnsi="GHEA Grapalat"/>
          <w:sz w:val="24"/>
          <w:szCs w:val="24"/>
        </w:rPr>
        <w:t>եւ</w:t>
      </w:r>
      <w:r w:rsidRPr="006D1E30">
        <w:rPr>
          <w:rFonts w:ascii="GHEA Grapalat" w:hAnsi="GHEA Grapalat"/>
          <w:sz w:val="24"/>
          <w:szCs w:val="24"/>
        </w:rPr>
        <w:t xml:space="preserve"> բանակցությունների միջոցով: </w:t>
      </w:r>
    </w:p>
    <w:p w:rsidR="006D1E30" w:rsidRPr="00004DA3" w:rsidRDefault="006D1E30" w:rsidP="006D1E30">
      <w:pPr>
        <w:pStyle w:val="1"/>
        <w:widowControl w:val="0"/>
        <w:spacing w:after="160" w:line="360" w:lineRule="auto"/>
        <w:ind w:left="0"/>
        <w:contextualSpacing w:val="0"/>
        <w:jc w:val="center"/>
        <w:rPr>
          <w:rFonts w:ascii="GHEA Grapalat" w:hAnsi="GHEA Grapalat"/>
          <w:b/>
          <w:sz w:val="16"/>
          <w:szCs w:val="16"/>
        </w:rPr>
      </w:pPr>
    </w:p>
    <w:p w:rsidR="00AE405D" w:rsidRPr="006D1E30" w:rsidRDefault="00AE405D" w:rsidP="006D1E30">
      <w:pPr>
        <w:pStyle w:val="1"/>
        <w:widowControl w:val="0"/>
        <w:spacing w:after="160" w:line="360" w:lineRule="auto"/>
        <w:ind w:left="0"/>
        <w:contextualSpacing w:val="0"/>
        <w:jc w:val="center"/>
        <w:rPr>
          <w:rFonts w:ascii="GHEA Grapalat" w:hAnsi="GHEA Grapalat"/>
          <w:b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Հոդված 8</w:t>
      </w: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Յուրաքանչյուր Կողմ ինքնուրույն է կրում սույն համաձայնագրի դրույթների իրականացման հետ կապված ծախսերը։ </w:t>
      </w:r>
    </w:p>
    <w:p w:rsidR="006D1E30" w:rsidRPr="00004DA3" w:rsidRDefault="006D1E30" w:rsidP="006D1E30">
      <w:pPr>
        <w:widowControl w:val="0"/>
        <w:spacing w:after="160" w:line="360" w:lineRule="auto"/>
        <w:jc w:val="center"/>
        <w:rPr>
          <w:rFonts w:ascii="GHEA Grapalat" w:hAnsi="GHEA Grapalat"/>
          <w:b/>
          <w:sz w:val="16"/>
          <w:szCs w:val="16"/>
        </w:rPr>
      </w:pPr>
    </w:p>
    <w:p w:rsidR="00AE405D" w:rsidRPr="006D1E30" w:rsidRDefault="00AE405D" w:rsidP="006D1E30">
      <w:pPr>
        <w:widowControl w:val="0"/>
        <w:spacing w:after="16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Հոդված 9</w:t>
      </w: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Սույն համաձայնագիրն ուժի մեջ է մտնում այն ուժի մեջ մտնելու համար անհրաժեշտ ներպետական ընթացակարգերը համաձայնագիր</w:t>
      </w:r>
      <w:r w:rsidR="008B3342" w:rsidRPr="006D1E30">
        <w:rPr>
          <w:rFonts w:ascii="GHEA Grapalat" w:hAnsi="GHEA Grapalat"/>
          <w:sz w:val="24"/>
          <w:szCs w:val="24"/>
        </w:rPr>
        <w:t>ը</w:t>
      </w:r>
      <w:r w:rsidRPr="006D1E30">
        <w:rPr>
          <w:rFonts w:ascii="GHEA Grapalat" w:hAnsi="GHEA Grapalat"/>
          <w:sz w:val="24"/>
          <w:szCs w:val="24"/>
        </w:rPr>
        <w:t xml:space="preserve"> ստորագրած Կողմերի կողմից կատարվելու մասին երրորդ ծանուցումն ավանդապահի կողմից ստանալու օրվանից։</w:t>
      </w:r>
    </w:p>
    <w:p w:rsidR="00AE405D" w:rsidRPr="006D1E30" w:rsidRDefault="00AE405D" w:rsidP="006D1E3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Ներպետական ընթացակարգերն ավելի ուշ կատարած Կողմերի համար սույն համաձայնագիրն ուժի մեջ է մտնում համապատասխան ծանուցումներն ավանդապահի կողմից ստանալու օրվանից։</w:t>
      </w:r>
    </w:p>
    <w:p w:rsidR="006D1E30" w:rsidRPr="00004DA3" w:rsidRDefault="006D1E30" w:rsidP="006D1E30">
      <w:pPr>
        <w:widowControl w:val="0"/>
        <w:spacing w:after="160" w:line="360" w:lineRule="auto"/>
        <w:jc w:val="center"/>
        <w:rPr>
          <w:rFonts w:ascii="GHEA Grapalat" w:hAnsi="GHEA Grapalat"/>
          <w:b/>
          <w:sz w:val="16"/>
          <w:szCs w:val="16"/>
        </w:rPr>
      </w:pPr>
    </w:p>
    <w:p w:rsidR="00AE405D" w:rsidRPr="006D1E30" w:rsidRDefault="00AE405D" w:rsidP="006D1E30">
      <w:pPr>
        <w:widowControl w:val="0"/>
        <w:spacing w:after="16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t>Հոդված 10</w:t>
      </w: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 xml:space="preserve">Ուժի մեջ մտնելուց հետո սույն համաձայնագիրը բաց է ԱՊՀ ցանկացած մասնակից պետության կողմից դրան միանալու համար` միանալու մասին փաստաթուղթն ավանդապահին փոխանցելու միջոցով։ </w:t>
      </w: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Միացող պետության համար սույն համաձայնագիրն ուժի մեջ է մտնում միանալու մասին փաստաթուղթն ավանդապահի կողմից ստանալու օրվանից 30</w:t>
      </w:r>
      <w:r w:rsidR="00BB0969" w:rsidRPr="00BB0969">
        <w:rPr>
          <w:rFonts w:ascii="Courier New" w:hAnsi="Courier New" w:cs="Courier New"/>
          <w:sz w:val="24"/>
          <w:szCs w:val="24"/>
        </w:rPr>
        <w:t> </w:t>
      </w:r>
      <w:r w:rsidRPr="006D1E30">
        <w:rPr>
          <w:rFonts w:ascii="GHEA Grapalat" w:hAnsi="GHEA Grapalat"/>
          <w:sz w:val="24"/>
          <w:szCs w:val="24"/>
        </w:rPr>
        <w:t>օրը լրանալուց հետո։</w:t>
      </w:r>
    </w:p>
    <w:p w:rsidR="00004DA3" w:rsidRDefault="00004DA3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br w:type="page"/>
      </w:r>
    </w:p>
    <w:p w:rsidR="00AE405D" w:rsidRPr="006D1E30" w:rsidRDefault="00AE405D" w:rsidP="006D1E30">
      <w:pPr>
        <w:widowControl w:val="0"/>
        <w:spacing w:after="16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D1E30">
        <w:rPr>
          <w:rFonts w:ascii="GHEA Grapalat" w:hAnsi="GHEA Grapalat"/>
          <w:b/>
          <w:sz w:val="24"/>
          <w:szCs w:val="24"/>
        </w:rPr>
        <w:lastRenderedPageBreak/>
        <w:t>Հոդված 11</w:t>
      </w:r>
    </w:p>
    <w:p w:rsidR="00AE405D" w:rsidRPr="006D1E30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Յուրաքանչյուր Կողմ իրավունք ունի դուրս գալու սույն համաձայնագրից՝ դրա մասին գրավոր ծանուցում ուղարկելով ավանդապահին դուրս գալուց ոչ ուշ, քան վեց ամիս առաջ։</w:t>
      </w:r>
    </w:p>
    <w:p w:rsidR="00AE405D" w:rsidRPr="00CC7CF5" w:rsidRDefault="00AE405D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6D1E30">
        <w:rPr>
          <w:rFonts w:ascii="GHEA Grapalat" w:hAnsi="GHEA Grapalat"/>
          <w:sz w:val="24"/>
          <w:szCs w:val="24"/>
        </w:rPr>
        <w:t>Կատարված է Աշխաբադ քաղաքում, 2019 թվականի մայիսի 31-ին, մեկ</w:t>
      </w:r>
      <w:r w:rsidR="006D1E30" w:rsidRPr="006D1E30">
        <w:rPr>
          <w:rFonts w:ascii="Courier New" w:hAnsi="Courier New" w:cs="Courier New"/>
          <w:sz w:val="24"/>
          <w:szCs w:val="24"/>
        </w:rPr>
        <w:t> </w:t>
      </w:r>
      <w:r w:rsidRPr="006D1E30">
        <w:rPr>
          <w:rFonts w:ascii="GHEA Grapalat" w:hAnsi="GHEA Grapalat"/>
          <w:sz w:val="24"/>
          <w:szCs w:val="24"/>
        </w:rPr>
        <w:t xml:space="preserve">բնօրինակից՝ ռուսերենով։ Բնօրինակը պահվում է Անկախ </w:t>
      </w:r>
      <w:r w:rsidR="00CD0927">
        <w:rPr>
          <w:rFonts w:ascii="GHEA Grapalat" w:hAnsi="GHEA Grapalat"/>
          <w:sz w:val="24"/>
          <w:szCs w:val="24"/>
        </w:rPr>
        <w:t>պ</w:t>
      </w:r>
      <w:r w:rsidRPr="006D1E30">
        <w:rPr>
          <w:rFonts w:ascii="GHEA Grapalat" w:hAnsi="GHEA Grapalat"/>
          <w:sz w:val="24"/>
          <w:szCs w:val="24"/>
        </w:rPr>
        <w:t xml:space="preserve">ետությունների </w:t>
      </w:r>
      <w:r w:rsidR="00CD0927">
        <w:rPr>
          <w:rFonts w:ascii="GHEA Grapalat" w:hAnsi="GHEA Grapalat"/>
          <w:sz w:val="24"/>
          <w:szCs w:val="24"/>
        </w:rPr>
        <w:t>հ</w:t>
      </w:r>
      <w:r w:rsidRPr="006D1E30">
        <w:rPr>
          <w:rFonts w:ascii="GHEA Grapalat" w:hAnsi="GHEA Grapalat"/>
          <w:sz w:val="24"/>
          <w:szCs w:val="24"/>
        </w:rPr>
        <w:t>ամագործակցության գործադիր կոմիտեում, որը սույն համաձայնագիր</w:t>
      </w:r>
      <w:r w:rsidR="002B2103" w:rsidRPr="006D1E30">
        <w:rPr>
          <w:rFonts w:ascii="GHEA Grapalat" w:hAnsi="GHEA Grapalat"/>
          <w:sz w:val="24"/>
          <w:szCs w:val="24"/>
        </w:rPr>
        <w:t>ը</w:t>
      </w:r>
      <w:r w:rsidRPr="006D1E30">
        <w:rPr>
          <w:rFonts w:ascii="GHEA Grapalat" w:hAnsi="GHEA Grapalat"/>
          <w:sz w:val="24"/>
          <w:szCs w:val="24"/>
        </w:rPr>
        <w:t xml:space="preserve"> ստորագրած յուրաքանչյուր պետությ</w:t>
      </w:r>
      <w:r w:rsidR="00F0556F" w:rsidRPr="006D1E30">
        <w:rPr>
          <w:rFonts w:ascii="GHEA Grapalat" w:hAnsi="GHEA Grapalat"/>
          <w:sz w:val="24"/>
          <w:szCs w:val="24"/>
        </w:rPr>
        <w:t>ու</w:t>
      </w:r>
      <w:r w:rsidRPr="006D1E30">
        <w:rPr>
          <w:rFonts w:ascii="GHEA Grapalat" w:hAnsi="GHEA Grapalat"/>
          <w:sz w:val="24"/>
          <w:szCs w:val="24"/>
        </w:rPr>
        <w:t>ն 30 օրվա ընթացքում կուղարկի դրա հաստատված պատճենը։</w:t>
      </w:r>
    </w:p>
    <w:p w:rsidR="006D1E30" w:rsidRPr="00CC7CF5" w:rsidRDefault="006D1E30" w:rsidP="006D1E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AE405D" w:rsidRPr="006D1E30" w:rsidTr="00BB0969">
        <w:trPr>
          <w:trHeight w:val="597"/>
        </w:trPr>
        <w:tc>
          <w:tcPr>
            <w:tcW w:w="4820" w:type="dxa"/>
          </w:tcPr>
          <w:p w:rsidR="00AE405D" w:rsidRPr="006D1E30" w:rsidRDefault="00AE405D" w:rsidP="003C44BB">
            <w:pPr>
              <w:pStyle w:val="Header"/>
              <w:widowControl w:val="0"/>
              <w:tabs>
                <w:tab w:val="clear" w:pos="4677"/>
                <w:tab w:val="clear" w:pos="9355"/>
              </w:tabs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D1E30">
              <w:rPr>
                <w:rFonts w:ascii="GHEA Grapalat" w:hAnsi="GHEA Grapalat"/>
                <w:b/>
                <w:sz w:val="24"/>
                <w:szCs w:val="24"/>
              </w:rPr>
              <w:t>Ադրբեջանի Հանրապետության կառավարության կողմից՝</w:t>
            </w:r>
          </w:p>
        </w:tc>
        <w:tc>
          <w:tcPr>
            <w:tcW w:w="4394" w:type="dxa"/>
          </w:tcPr>
          <w:p w:rsidR="00AE405D" w:rsidRPr="006D1E30" w:rsidRDefault="00AE405D" w:rsidP="006D1E30">
            <w:pPr>
              <w:widowControl w:val="0"/>
              <w:tabs>
                <w:tab w:val="left" w:pos="7088"/>
              </w:tabs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D1E30">
              <w:rPr>
                <w:rFonts w:ascii="GHEA Grapalat" w:hAnsi="GHEA Grapalat"/>
                <w:b/>
                <w:sz w:val="24"/>
                <w:szCs w:val="24"/>
              </w:rPr>
              <w:t>Ռուսաստանի Դաշնության կառավարության կողմից՝</w:t>
            </w:r>
          </w:p>
        </w:tc>
      </w:tr>
      <w:tr w:rsidR="00AE405D" w:rsidRPr="006D1E30" w:rsidTr="00BB0969">
        <w:trPr>
          <w:trHeight w:val="723"/>
        </w:trPr>
        <w:tc>
          <w:tcPr>
            <w:tcW w:w="4820" w:type="dxa"/>
            <w:hideMark/>
          </w:tcPr>
          <w:p w:rsidR="00AE405D" w:rsidRPr="006D1E30" w:rsidRDefault="00AE405D" w:rsidP="003C44BB">
            <w:pPr>
              <w:widowControl w:val="0"/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D1E30">
              <w:rPr>
                <w:rFonts w:ascii="GHEA Grapalat" w:hAnsi="GHEA Grapalat"/>
                <w:b/>
                <w:sz w:val="24"/>
                <w:szCs w:val="24"/>
              </w:rPr>
              <w:t>Հայաստանի Հանրապետության կառավարության կողմից՝</w:t>
            </w:r>
          </w:p>
        </w:tc>
        <w:tc>
          <w:tcPr>
            <w:tcW w:w="4394" w:type="dxa"/>
            <w:hideMark/>
          </w:tcPr>
          <w:p w:rsidR="00AE405D" w:rsidRPr="006D1E30" w:rsidRDefault="00AE405D" w:rsidP="006D1E30">
            <w:pPr>
              <w:widowControl w:val="0"/>
              <w:tabs>
                <w:tab w:val="left" w:pos="7088"/>
              </w:tabs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D1E30">
              <w:rPr>
                <w:rFonts w:ascii="GHEA Grapalat" w:hAnsi="GHEA Grapalat"/>
                <w:b/>
                <w:sz w:val="24"/>
                <w:szCs w:val="24"/>
              </w:rPr>
              <w:t>Տաջիկստանի Հանրապետության կառավարության կողմից՝</w:t>
            </w:r>
          </w:p>
        </w:tc>
      </w:tr>
      <w:tr w:rsidR="00AE405D" w:rsidRPr="006D1E30" w:rsidTr="00BB0969">
        <w:trPr>
          <w:trHeight w:val="682"/>
        </w:trPr>
        <w:tc>
          <w:tcPr>
            <w:tcW w:w="4820" w:type="dxa"/>
            <w:hideMark/>
          </w:tcPr>
          <w:p w:rsidR="00AE405D" w:rsidRPr="006D1E30" w:rsidRDefault="00AE405D" w:rsidP="003C44BB">
            <w:pPr>
              <w:widowControl w:val="0"/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D1E30">
              <w:rPr>
                <w:rFonts w:ascii="GHEA Grapalat" w:hAnsi="GHEA Grapalat"/>
                <w:b/>
                <w:sz w:val="24"/>
                <w:szCs w:val="24"/>
              </w:rPr>
              <w:t>Բելառուսի Հանրապետության կառավարության կողմից՝</w:t>
            </w:r>
          </w:p>
        </w:tc>
        <w:tc>
          <w:tcPr>
            <w:tcW w:w="4394" w:type="dxa"/>
            <w:hideMark/>
          </w:tcPr>
          <w:p w:rsidR="00AE405D" w:rsidRPr="006D1E30" w:rsidRDefault="00AE405D" w:rsidP="006D1E30">
            <w:pPr>
              <w:widowControl w:val="0"/>
              <w:tabs>
                <w:tab w:val="left" w:pos="7088"/>
              </w:tabs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D1E30">
              <w:rPr>
                <w:rFonts w:ascii="GHEA Grapalat" w:hAnsi="GHEA Grapalat"/>
                <w:b/>
                <w:sz w:val="24"/>
                <w:szCs w:val="24"/>
              </w:rPr>
              <w:t>Թուրքմենստանի կառավարության կողմից՝</w:t>
            </w:r>
          </w:p>
        </w:tc>
      </w:tr>
      <w:tr w:rsidR="00AE405D" w:rsidRPr="006D1E30" w:rsidTr="00BB0969">
        <w:trPr>
          <w:trHeight w:val="639"/>
        </w:trPr>
        <w:tc>
          <w:tcPr>
            <w:tcW w:w="4820" w:type="dxa"/>
            <w:hideMark/>
          </w:tcPr>
          <w:p w:rsidR="00AE405D" w:rsidRPr="006D1E30" w:rsidRDefault="00AE405D" w:rsidP="003C44BB">
            <w:pPr>
              <w:widowControl w:val="0"/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D1E30">
              <w:rPr>
                <w:rFonts w:ascii="GHEA Grapalat" w:hAnsi="GHEA Grapalat"/>
                <w:b/>
                <w:sz w:val="24"/>
                <w:szCs w:val="24"/>
              </w:rPr>
              <w:t>Ղազախստանի Հանրապետության կառավարության կողմից՝</w:t>
            </w:r>
          </w:p>
        </w:tc>
        <w:tc>
          <w:tcPr>
            <w:tcW w:w="4394" w:type="dxa"/>
            <w:hideMark/>
          </w:tcPr>
          <w:p w:rsidR="00AE405D" w:rsidRPr="006D1E30" w:rsidRDefault="00AE405D" w:rsidP="006D1E30">
            <w:pPr>
              <w:widowControl w:val="0"/>
              <w:tabs>
                <w:tab w:val="left" w:pos="7088"/>
              </w:tabs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D1E30">
              <w:rPr>
                <w:rFonts w:ascii="GHEA Grapalat" w:hAnsi="GHEA Grapalat"/>
                <w:b/>
                <w:sz w:val="24"/>
                <w:szCs w:val="24"/>
              </w:rPr>
              <w:t>Ուզբեկստանի Հանրապետության կառավարության կողմից՝</w:t>
            </w:r>
          </w:p>
        </w:tc>
      </w:tr>
      <w:tr w:rsidR="00AE405D" w:rsidRPr="006D1E30" w:rsidTr="00BB0969">
        <w:trPr>
          <w:trHeight w:val="647"/>
        </w:trPr>
        <w:tc>
          <w:tcPr>
            <w:tcW w:w="4820" w:type="dxa"/>
            <w:hideMark/>
          </w:tcPr>
          <w:p w:rsidR="00AE405D" w:rsidRPr="006D1E30" w:rsidRDefault="00AE405D" w:rsidP="003C44BB">
            <w:pPr>
              <w:widowControl w:val="0"/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D1E30">
              <w:rPr>
                <w:rFonts w:ascii="GHEA Grapalat" w:hAnsi="GHEA Grapalat"/>
                <w:b/>
                <w:sz w:val="24"/>
                <w:szCs w:val="24"/>
              </w:rPr>
              <w:t>Ղրղզստանի Հանրապետության կառավարության կողմից՝</w:t>
            </w:r>
          </w:p>
        </w:tc>
        <w:tc>
          <w:tcPr>
            <w:tcW w:w="4394" w:type="dxa"/>
          </w:tcPr>
          <w:p w:rsidR="00AE405D" w:rsidRPr="006D1E30" w:rsidRDefault="00AE405D" w:rsidP="006D1E30">
            <w:pPr>
              <w:pStyle w:val="Heading1"/>
              <w:keepNext w:val="0"/>
              <w:widowControl w:val="0"/>
              <w:tabs>
                <w:tab w:val="left" w:pos="7088"/>
              </w:tabs>
              <w:spacing w:after="160" w:line="360" w:lineRule="auto"/>
              <w:jc w:val="left"/>
              <w:rPr>
                <w:rFonts w:ascii="GHEA Grapalat" w:hAnsi="GHEA Grapalat"/>
              </w:rPr>
            </w:pPr>
            <w:r w:rsidRPr="006D1E30">
              <w:rPr>
                <w:rFonts w:ascii="GHEA Grapalat" w:hAnsi="GHEA Grapalat"/>
              </w:rPr>
              <w:t>Ուկրաինայի կառավարության կողմից՝</w:t>
            </w:r>
          </w:p>
        </w:tc>
      </w:tr>
      <w:tr w:rsidR="00AE405D" w:rsidRPr="006D1E30" w:rsidTr="00BB0969">
        <w:trPr>
          <w:trHeight w:val="759"/>
        </w:trPr>
        <w:tc>
          <w:tcPr>
            <w:tcW w:w="4820" w:type="dxa"/>
            <w:hideMark/>
          </w:tcPr>
          <w:p w:rsidR="00AE405D" w:rsidRPr="006D1E30" w:rsidRDefault="00AE405D" w:rsidP="003C44BB">
            <w:pPr>
              <w:widowControl w:val="0"/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D1E30">
              <w:rPr>
                <w:rFonts w:ascii="GHEA Grapalat" w:hAnsi="GHEA Grapalat"/>
                <w:b/>
                <w:sz w:val="24"/>
                <w:szCs w:val="24"/>
              </w:rPr>
              <w:t>Մոլդովայի Հանրապետության կառավարության կողմից՝</w:t>
            </w:r>
          </w:p>
        </w:tc>
        <w:tc>
          <w:tcPr>
            <w:tcW w:w="4394" w:type="dxa"/>
          </w:tcPr>
          <w:p w:rsidR="00AE405D" w:rsidRPr="006D1E30" w:rsidRDefault="00AE405D" w:rsidP="006D1E30">
            <w:pPr>
              <w:widowControl w:val="0"/>
              <w:tabs>
                <w:tab w:val="left" w:pos="7088"/>
              </w:tabs>
              <w:spacing w:after="16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</w:tbl>
    <w:p w:rsidR="00AE405D" w:rsidRPr="006D1E30" w:rsidRDefault="00AE405D" w:rsidP="00004DA3">
      <w:pPr>
        <w:widowControl w:val="0"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GHEA Grapalat" w:hAnsi="GHEA Grapalat"/>
          <w:b/>
          <w:bCs/>
          <w:sz w:val="24"/>
          <w:szCs w:val="24"/>
        </w:rPr>
      </w:pPr>
    </w:p>
    <w:sectPr w:rsidR="00AE405D" w:rsidRPr="006D1E30" w:rsidSect="00CC7CF5">
      <w:headerReference w:type="default" r:id="rId7"/>
      <w:footerReference w:type="default" r:id="rId8"/>
      <w:footerReference w:type="first" r:id="rId9"/>
      <w:pgSz w:w="11905" w:h="16838" w:code="9"/>
      <w:pgMar w:top="1418" w:right="1418" w:bottom="1418" w:left="1418" w:header="68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8F" w:rsidRDefault="00D2518F">
      <w:r>
        <w:separator/>
      </w:r>
    </w:p>
  </w:endnote>
  <w:endnote w:type="continuationSeparator" w:id="0">
    <w:p w:rsidR="00D2518F" w:rsidRDefault="00D2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30" w:rsidRPr="006D1E30" w:rsidRDefault="006D1E30" w:rsidP="00CC7CF5">
    <w:pPr>
      <w:pStyle w:val="Footer"/>
      <w:tabs>
        <w:tab w:val="clear" w:pos="4677"/>
        <w:tab w:val="clear" w:pos="9355"/>
        <w:tab w:val="center" w:pos="6804"/>
      </w:tabs>
      <w:jc w:val="center"/>
      <w:rPr>
        <w:rFonts w:ascii="GHEA Grapalat" w:hAnsi="GHEA Grapalat"/>
        <w:sz w:val="20"/>
        <w:szCs w:val="20"/>
      </w:rPr>
    </w:pPr>
    <w:r w:rsidRPr="006D1E30">
      <w:rPr>
        <w:rFonts w:ascii="GHEA Grapalat" w:hAnsi="GHEA Grapalat"/>
        <w:sz w:val="20"/>
        <w:szCs w:val="20"/>
      </w:rPr>
      <w:t>Աշխաբադ, 31 մայիսի 2019 թվական</w:t>
    </w:r>
    <w:r w:rsidRPr="006D1E30">
      <w:rPr>
        <w:rFonts w:ascii="GHEA Grapalat" w:hAnsi="GHEA Grapalat"/>
        <w:sz w:val="20"/>
        <w:szCs w:val="20"/>
      </w:rPr>
      <w:tab/>
    </w:r>
    <w:r w:rsidR="00D2518F">
      <w:fldChar w:fldCharType="begin"/>
    </w:r>
    <w:r w:rsidR="00D2518F">
      <w:instrText xml:space="preserve"> PRINTDATE  \* MERGEFORMAT </w:instrText>
    </w:r>
    <w:r w:rsidR="00D2518F">
      <w:fldChar w:fldCharType="separate"/>
    </w:r>
    <w:r w:rsidRPr="006D1E30">
      <w:rPr>
        <w:rFonts w:ascii="GHEA Grapalat" w:hAnsi="GHEA Grapalat"/>
        <w:sz w:val="20"/>
        <w:szCs w:val="20"/>
      </w:rPr>
      <w:t>23.01.2019 10:38:00</w:t>
    </w:r>
    <w:r w:rsidR="00D2518F">
      <w:rPr>
        <w:rFonts w:ascii="GHEA Grapalat" w:hAnsi="GHEA Grapalat"/>
        <w:sz w:val="20"/>
        <w:szCs w:val="20"/>
      </w:rPr>
      <w:fldChar w:fldCharType="end"/>
    </w:r>
    <w:r w:rsidR="00CC7CF5">
      <w:rPr>
        <w:rFonts w:ascii="GHEA Grapalat" w:hAnsi="GHEA Grapalat"/>
        <w:sz w:val="20"/>
        <w:szCs w:val="20"/>
      </w:rPr>
      <w:t xml:space="preserve"> </w:t>
    </w:r>
    <w:r w:rsidR="00D2518F">
      <w:fldChar w:fldCharType="begin"/>
    </w:r>
    <w:r w:rsidR="00D2518F">
      <w:instrText xml:space="preserve"> FILENAME  \* MERGEFORMAT </w:instrText>
    </w:r>
    <w:r w:rsidR="00D2518F">
      <w:fldChar w:fldCharType="separate"/>
    </w:r>
    <w:r w:rsidRPr="006D1E30">
      <w:rPr>
        <w:rFonts w:ascii="GHEA Grapalat" w:hAnsi="GHEA Grapalat"/>
        <w:sz w:val="20"/>
        <w:szCs w:val="20"/>
      </w:rPr>
      <w:t>19-0067-5-2</w:t>
    </w:r>
    <w:r w:rsidR="00D2518F">
      <w:rPr>
        <w:rFonts w:ascii="GHEA Grapalat" w:hAnsi="GHEA Grapala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30" w:rsidRPr="006D1E30" w:rsidRDefault="006D1E30" w:rsidP="00CC7CF5">
    <w:pPr>
      <w:pStyle w:val="Footer"/>
      <w:tabs>
        <w:tab w:val="clear" w:pos="4677"/>
        <w:tab w:val="clear" w:pos="9355"/>
        <w:tab w:val="center" w:pos="6663"/>
      </w:tabs>
      <w:jc w:val="center"/>
      <w:rPr>
        <w:rFonts w:ascii="GHEA Grapalat" w:hAnsi="GHEA Grapalat"/>
        <w:sz w:val="20"/>
        <w:szCs w:val="20"/>
      </w:rPr>
    </w:pPr>
    <w:r w:rsidRPr="006D1E30">
      <w:rPr>
        <w:rFonts w:ascii="GHEA Grapalat" w:hAnsi="GHEA Grapalat"/>
        <w:sz w:val="20"/>
        <w:szCs w:val="20"/>
      </w:rPr>
      <w:t>Աշխաբադ, 31 մայիսի 2019 թվական</w:t>
    </w:r>
    <w:r w:rsidRPr="006D1E30">
      <w:rPr>
        <w:rFonts w:ascii="GHEA Grapalat" w:hAnsi="GHEA Grapalat"/>
        <w:sz w:val="20"/>
        <w:szCs w:val="20"/>
      </w:rPr>
      <w:tab/>
    </w:r>
    <w:r w:rsidR="00D2518F">
      <w:fldChar w:fldCharType="begin"/>
    </w:r>
    <w:r w:rsidR="00D2518F">
      <w:instrText xml:space="preserve"> PRINTDATE  \* MERGEFORMAT </w:instrText>
    </w:r>
    <w:r w:rsidR="00D2518F">
      <w:fldChar w:fldCharType="separate"/>
    </w:r>
    <w:r w:rsidRPr="006D1E30">
      <w:rPr>
        <w:rFonts w:ascii="GHEA Grapalat" w:hAnsi="GHEA Grapalat"/>
        <w:sz w:val="20"/>
        <w:szCs w:val="20"/>
      </w:rPr>
      <w:t>23.01.2019 10:38:00</w:t>
    </w:r>
    <w:r w:rsidR="00D2518F">
      <w:rPr>
        <w:rFonts w:ascii="GHEA Grapalat" w:hAnsi="GHEA Grapalat"/>
        <w:sz w:val="20"/>
        <w:szCs w:val="20"/>
      </w:rPr>
      <w:fldChar w:fldCharType="end"/>
    </w:r>
    <w:r w:rsidRPr="006D1E30">
      <w:rPr>
        <w:rFonts w:ascii="GHEA Grapalat" w:hAnsi="GHEA Grapalat"/>
        <w:sz w:val="20"/>
        <w:szCs w:val="20"/>
      </w:rPr>
      <w:t xml:space="preserve"> </w:t>
    </w:r>
    <w:r w:rsidR="00D2518F">
      <w:fldChar w:fldCharType="begin"/>
    </w:r>
    <w:r w:rsidR="00D2518F">
      <w:instrText xml:space="preserve"> FILENAME  \* MERGEFORMAT </w:instrText>
    </w:r>
    <w:r w:rsidR="00D2518F">
      <w:fldChar w:fldCharType="separate"/>
    </w:r>
    <w:r w:rsidRPr="006D1E30">
      <w:rPr>
        <w:rFonts w:ascii="GHEA Grapalat" w:hAnsi="GHEA Grapalat"/>
        <w:sz w:val="20"/>
        <w:szCs w:val="20"/>
      </w:rPr>
      <w:t>19-0067-5-2</w:t>
    </w:r>
    <w:r w:rsidR="00D2518F">
      <w:rPr>
        <w:rFonts w:ascii="GHEA Grapalat" w:hAnsi="GHEA Grapala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8F" w:rsidRDefault="00D2518F">
      <w:r>
        <w:separator/>
      </w:r>
    </w:p>
  </w:footnote>
  <w:footnote w:type="continuationSeparator" w:id="0">
    <w:p w:rsidR="00D2518F" w:rsidRDefault="00D2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30" w:rsidRPr="00BB0969" w:rsidRDefault="00181BF2" w:rsidP="00AE405D">
    <w:pPr>
      <w:pStyle w:val="Header"/>
      <w:jc w:val="center"/>
      <w:rPr>
        <w:rFonts w:ascii="GHEA Grapalat" w:hAnsi="GHEA Grapalat"/>
        <w:sz w:val="24"/>
        <w:szCs w:val="24"/>
      </w:rPr>
    </w:pPr>
    <w:r w:rsidRPr="00BB0969">
      <w:rPr>
        <w:rFonts w:ascii="GHEA Grapalat" w:hAnsi="GHEA Grapalat"/>
        <w:sz w:val="24"/>
        <w:szCs w:val="24"/>
      </w:rPr>
      <w:fldChar w:fldCharType="begin"/>
    </w:r>
    <w:r w:rsidR="006D1E30" w:rsidRPr="00BB0969">
      <w:rPr>
        <w:rFonts w:ascii="GHEA Grapalat" w:hAnsi="GHEA Grapalat"/>
        <w:sz w:val="24"/>
        <w:szCs w:val="24"/>
      </w:rPr>
      <w:instrText>PAGE   \* MERGEFORMAT</w:instrText>
    </w:r>
    <w:r w:rsidRPr="00BB0969">
      <w:rPr>
        <w:rFonts w:ascii="GHEA Grapalat" w:hAnsi="GHEA Grapalat"/>
        <w:sz w:val="24"/>
        <w:szCs w:val="24"/>
      </w:rPr>
      <w:fldChar w:fldCharType="separate"/>
    </w:r>
    <w:r w:rsidR="00916F94">
      <w:rPr>
        <w:rFonts w:ascii="GHEA Grapalat" w:hAnsi="GHEA Grapalat"/>
        <w:noProof/>
        <w:sz w:val="24"/>
        <w:szCs w:val="24"/>
      </w:rPr>
      <w:t>6</w:t>
    </w:r>
    <w:r w:rsidRPr="00BB0969">
      <w:rPr>
        <w:rFonts w:ascii="GHEA Grapalat" w:hAnsi="GHEA Grapalat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91"/>
    <w:rsid w:val="00004DA3"/>
    <w:rsid w:val="000B0E32"/>
    <w:rsid w:val="000F5655"/>
    <w:rsid w:val="0013734D"/>
    <w:rsid w:val="00181BF2"/>
    <w:rsid w:val="001A3386"/>
    <w:rsid w:val="001F307B"/>
    <w:rsid w:val="0027208F"/>
    <w:rsid w:val="002B2103"/>
    <w:rsid w:val="003C3608"/>
    <w:rsid w:val="003C44BB"/>
    <w:rsid w:val="004309B5"/>
    <w:rsid w:val="004344D3"/>
    <w:rsid w:val="0045661E"/>
    <w:rsid w:val="00461C91"/>
    <w:rsid w:val="004C2154"/>
    <w:rsid w:val="00587A8C"/>
    <w:rsid w:val="005C69C5"/>
    <w:rsid w:val="006227BD"/>
    <w:rsid w:val="006D1E30"/>
    <w:rsid w:val="00737D45"/>
    <w:rsid w:val="00823867"/>
    <w:rsid w:val="008B3342"/>
    <w:rsid w:val="008C5A29"/>
    <w:rsid w:val="00916F94"/>
    <w:rsid w:val="009A46C1"/>
    <w:rsid w:val="009D0594"/>
    <w:rsid w:val="009E1967"/>
    <w:rsid w:val="00AD7BD4"/>
    <w:rsid w:val="00AE405D"/>
    <w:rsid w:val="00B72BFB"/>
    <w:rsid w:val="00B75C1D"/>
    <w:rsid w:val="00BB0969"/>
    <w:rsid w:val="00C06BD5"/>
    <w:rsid w:val="00C379F7"/>
    <w:rsid w:val="00C95823"/>
    <w:rsid w:val="00CC7CF5"/>
    <w:rsid w:val="00CD0927"/>
    <w:rsid w:val="00D2518F"/>
    <w:rsid w:val="00D27F54"/>
    <w:rsid w:val="00D5247A"/>
    <w:rsid w:val="00DD713C"/>
    <w:rsid w:val="00DF088C"/>
    <w:rsid w:val="00F0556F"/>
    <w:rsid w:val="00F4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22224"/>
  <w15:docId w15:val="{CA767D8A-90BE-4EC4-BC19-D4E360F5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71F"/>
    <w:pPr>
      <w:spacing w:after="200" w:line="276" w:lineRule="auto"/>
    </w:pPr>
    <w:rPr>
      <w:sz w:val="22"/>
      <w:szCs w:val="22"/>
      <w:lang w:val="hy-AM" w:eastAsia="hy-AM"/>
    </w:rPr>
  </w:style>
  <w:style w:type="paragraph" w:styleId="Heading1">
    <w:name w:val="heading 1"/>
    <w:basedOn w:val="Normal"/>
    <w:next w:val="Normal"/>
    <w:link w:val="Heading1Char"/>
    <w:qFormat/>
    <w:rsid w:val="009B7BBC"/>
    <w:pPr>
      <w:keepNext/>
      <w:spacing w:after="0" w:line="240" w:lineRule="auto"/>
      <w:jc w:val="center"/>
      <w:outlineLvl w:val="0"/>
    </w:pPr>
    <w:rPr>
      <w:rFonts w:ascii="Baltica" w:eastAsia="Times New Roman" w:hAnsi="Bal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61C9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hy-AM" w:eastAsia="hy-AM"/>
    </w:rPr>
  </w:style>
  <w:style w:type="paragraph" w:styleId="ListParagraph">
    <w:name w:val="List Paragraph"/>
    <w:basedOn w:val="Normal"/>
    <w:uiPriority w:val="34"/>
    <w:qFormat/>
    <w:rsid w:val="00461C91"/>
    <w:pPr>
      <w:ind w:left="720"/>
      <w:contextualSpacing/>
    </w:pPr>
  </w:style>
  <w:style w:type="paragraph" w:customStyle="1" w:styleId="1">
    <w:name w:val="Абзац списка1"/>
    <w:basedOn w:val="Normal"/>
    <w:rsid w:val="000F2501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semiHidden/>
    <w:rsid w:val="00B578D7"/>
    <w:rPr>
      <w:sz w:val="20"/>
      <w:szCs w:val="20"/>
    </w:rPr>
  </w:style>
  <w:style w:type="character" w:styleId="FootnoteReference">
    <w:name w:val="footnote reference"/>
    <w:semiHidden/>
    <w:rsid w:val="00B578D7"/>
    <w:rPr>
      <w:vertAlign w:val="superscript"/>
      <w:lang w:val="hy-AM" w:eastAsia="hy-AM"/>
    </w:rPr>
  </w:style>
  <w:style w:type="table" w:styleId="TableGrid">
    <w:name w:val="Table Grid"/>
    <w:basedOn w:val="TableNormal"/>
    <w:rsid w:val="0032110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3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03CD"/>
    <w:rPr>
      <w:rFonts w:ascii="Tahoma" w:hAnsi="Tahoma" w:cs="Tahoma"/>
      <w:sz w:val="16"/>
      <w:szCs w:val="16"/>
      <w:lang w:val="hy-AM" w:eastAsia="hy-AM"/>
    </w:rPr>
  </w:style>
  <w:style w:type="paragraph" w:styleId="Header">
    <w:name w:val="header"/>
    <w:aliases w:val=" Знак,Знак"/>
    <w:basedOn w:val="Normal"/>
    <w:link w:val="HeaderChar"/>
    <w:uiPriority w:val="99"/>
    <w:unhideWhenUsed/>
    <w:rsid w:val="0001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 Знак Char,Знак Char"/>
    <w:link w:val="Header"/>
    <w:uiPriority w:val="99"/>
    <w:rsid w:val="000111D4"/>
    <w:rPr>
      <w:sz w:val="22"/>
      <w:szCs w:val="22"/>
      <w:lang w:val="hy-AM" w:eastAsia="hy-AM"/>
    </w:rPr>
  </w:style>
  <w:style w:type="paragraph" w:styleId="Footer">
    <w:name w:val="footer"/>
    <w:basedOn w:val="Normal"/>
    <w:link w:val="FooterChar"/>
    <w:unhideWhenUsed/>
    <w:rsid w:val="0001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rsid w:val="000111D4"/>
    <w:rPr>
      <w:sz w:val="22"/>
      <w:szCs w:val="22"/>
      <w:lang w:val="hy-AM" w:eastAsia="hy-AM"/>
    </w:rPr>
  </w:style>
  <w:style w:type="paragraph" w:styleId="Revision">
    <w:name w:val="Revision"/>
    <w:hidden/>
    <w:uiPriority w:val="99"/>
    <w:semiHidden/>
    <w:rsid w:val="00D330C4"/>
    <w:rPr>
      <w:sz w:val="22"/>
      <w:szCs w:val="22"/>
      <w:lang w:val="hy-AM" w:eastAsia="hy-AM"/>
    </w:rPr>
  </w:style>
  <w:style w:type="character" w:customStyle="1" w:styleId="Heading1Char">
    <w:name w:val="Heading 1 Char"/>
    <w:link w:val="Heading1"/>
    <w:rsid w:val="009B7BBC"/>
    <w:rPr>
      <w:rFonts w:ascii="Baltica" w:eastAsia="Times New Roman" w:hAnsi="Baltica"/>
      <w:b/>
      <w:bCs/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0A6F-1F47-4953-A112-249BD1AB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1028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РЕШЕНИЕ</vt:lpstr>
      <vt:lpstr>РЕШЕНИЕ</vt:lpstr>
    </vt:vector>
  </TitlesOfParts>
  <Company>SPecialiST RePack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РЕШЕНИЕ</dc:title>
  <dc:subject/>
  <dc:creator>ShuryginSN</dc:creator>
  <cp:keywords>https://mul2.gov.am/tasks/73766/oneclick/Hamadzaynagir-arm.docx?token=9d7a597e5a589fee7ed973717be6949e</cp:keywords>
  <cp:lastModifiedBy>Qristine Grigoryan</cp:lastModifiedBy>
  <cp:revision>3</cp:revision>
  <cp:lastPrinted>2019-01-23T06:38:00Z</cp:lastPrinted>
  <dcterms:created xsi:type="dcterms:W3CDTF">2019-05-27T05:52:00Z</dcterms:created>
  <dcterms:modified xsi:type="dcterms:W3CDTF">2019-05-27T05:53:00Z</dcterms:modified>
</cp:coreProperties>
</file>