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C5E" w:rsidRPr="004E2AE8" w:rsidRDefault="004E2AE8" w:rsidP="004E2AE8">
      <w:pPr>
        <w:jc w:val="center"/>
        <w:rPr>
          <w:sz w:val="24"/>
          <w:szCs w:val="24"/>
          <w:lang w:val="ru-RU"/>
        </w:rPr>
      </w:pPr>
      <w:bookmarkStart w:id="0" w:name="_GoBack"/>
      <w:bookmarkEnd w:id="0"/>
      <w:r w:rsidRPr="004E2AE8">
        <w:rPr>
          <w:sz w:val="24"/>
          <w:szCs w:val="24"/>
          <w:lang w:val="ru-RU"/>
        </w:rPr>
        <w:t>ԱՄՓՈՓԱԹԵՐԹ</w:t>
      </w:r>
    </w:p>
    <w:p w:rsidR="004E2AE8" w:rsidRDefault="004E2AE8" w:rsidP="004E2AE8">
      <w:pPr>
        <w:jc w:val="center"/>
        <w:rPr>
          <w:rFonts w:cs="Sylfaen"/>
          <w:color w:val="000000"/>
          <w:sz w:val="24"/>
          <w:szCs w:val="24"/>
          <w:shd w:val="clear" w:color="auto" w:fill="FFFFFF"/>
          <w:lang w:val="ru-RU"/>
        </w:rPr>
      </w:pPr>
      <w:r w:rsidRPr="004E2AE8">
        <w:rPr>
          <w:rFonts w:cs="Sylfaen"/>
          <w:color w:val="000000"/>
          <w:sz w:val="24"/>
          <w:szCs w:val="24"/>
          <w:shd w:val="clear" w:color="auto" w:fill="FFFFFF"/>
        </w:rPr>
        <w:t>Ռազմական</w:t>
      </w:r>
      <w:r w:rsidRPr="004E2AE8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4E2AE8">
        <w:rPr>
          <w:rFonts w:cs="Sylfaen"/>
          <w:color w:val="000000"/>
          <w:sz w:val="24"/>
          <w:szCs w:val="24"/>
          <w:shd w:val="clear" w:color="auto" w:fill="FFFFFF"/>
        </w:rPr>
        <w:t>համագո</w:t>
      </w:r>
      <w:r w:rsidRPr="004E2AE8">
        <w:rPr>
          <w:rFonts w:cs="Verdana"/>
          <w:color w:val="000000"/>
          <w:sz w:val="24"/>
          <w:szCs w:val="24"/>
          <w:shd w:val="clear" w:color="auto" w:fill="FFFFFF"/>
        </w:rPr>
        <w:t>ր</w:t>
      </w:r>
      <w:r w:rsidRPr="004E2AE8">
        <w:rPr>
          <w:rFonts w:cs="Sylfaen"/>
          <w:color w:val="000000"/>
          <w:sz w:val="24"/>
          <w:szCs w:val="24"/>
          <w:shd w:val="clear" w:color="auto" w:fill="FFFFFF"/>
        </w:rPr>
        <w:t>ծակցության</w:t>
      </w:r>
      <w:r w:rsidRPr="004E2AE8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4E2AE8">
        <w:rPr>
          <w:rFonts w:cs="Sylfaen"/>
          <w:color w:val="000000"/>
          <w:sz w:val="24"/>
          <w:szCs w:val="24"/>
          <w:shd w:val="clear" w:color="auto" w:fill="FFFFFF"/>
        </w:rPr>
        <w:t>մասին</w:t>
      </w:r>
      <w:r w:rsidRPr="004E2AE8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4E2AE8">
        <w:rPr>
          <w:rFonts w:cs="Sylfaen"/>
          <w:color w:val="000000"/>
          <w:sz w:val="24"/>
          <w:szCs w:val="24"/>
          <w:shd w:val="clear" w:color="auto" w:fill="FFFFFF"/>
        </w:rPr>
        <w:t>Հայաստանի</w:t>
      </w:r>
      <w:r w:rsidRPr="004E2AE8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4E2AE8">
        <w:rPr>
          <w:rFonts w:cs="Sylfaen"/>
          <w:color w:val="000000"/>
          <w:sz w:val="24"/>
          <w:szCs w:val="24"/>
          <w:shd w:val="clear" w:color="auto" w:fill="FFFFFF"/>
        </w:rPr>
        <w:t>Հան</w:t>
      </w:r>
      <w:r w:rsidRPr="004E2AE8">
        <w:rPr>
          <w:rFonts w:cs="Verdana"/>
          <w:color w:val="000000"/>
          <w:sz w:val="24"/>
          <w:szCs w:val="24"/>
          <w:shd w:val="clear" w:color="auto" w:fill="FFFFFF"/>
        </w:rPr>
        <w:t>ր</w:t>
      </w:r>
      <w:r w:rsidRPr="004E2AE8">
        <w:rPr>
          <w:rFonts w:cs="Sylfaen"/>
          <w:color w:val="000000"/>
          <w:sz w:val="24"/>
          <w:szCs w:val="24"/>
          <w:shd w:val="clear" w:color="auto" w:fill="FFFFFF"/>
        </w:rPr>
        <w:t>ապետության</w:t>
      </w:r>
      <w:r w:rsidRPr="004E2AE8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4E2AE8">
        <w:rPr>
          <w:rFonts w:cs="Sylfaen"/>
          <w:color w:val="000000"/>
          <w:sz w:val="24"/>
          <w:szCs w:val="24"/>
          <w:shd w:val="clear" w:color="auto" w:fill="FFFFFF"/>
        </w:rPr>
        <w:t>և</w:t>
      </w:r>
      <w:r w:rsidRPr="004E2AE8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4E2AE8">
        <w:rPr>
          <w:rFonts w:cs="Sylfaen"/>
          <w:color w:val="000000"/>
          <w:sz w:val="24"/>
          <w:szCs w:val="24"/>
          <w:shd w:val="clear" w:color="auto" w:fill="FFFFFF"/>
        </w:rPr>
        <w:t>Լիբանանի</w:t>
      </w:r>
      <w:r w:rsidRPr="004E2AE8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4E2AE8">
        <w:rPr>
          <w:rFonts w:cs="Sylfaen"/>
          <w:color w:val="000000"/>
          <w:sz w:val="24"/>
          <w:szCs w:val="24"/>
          <w:shd w:val="clear" w:color="auto" w:fill="FFFFFF"/>
        </w:rPr>
        <w:t>Հան</w:t>
      </w:r>
      <w:r w:rsidRPr="004E2AE8">
        <w:rPr>
          <w:rFonts w:cs="Verdana"/>
          <w:color w:val="000000"/>
          <w:sz w:val="24"/>
          <w:szCs w:val="24"/>
          <w:shd w:val="clear" w:color="auto" w:fill="FFFFFF"/>
        </w:rPr>
        <w:t>ր</w:t>
      </w:r>
      <w:r w:rsidRPr="004E2AE8">
        <w:rPr>
          <w:rFonts w:cs="Sylfaen"/>
          <w:color w:val="000000"/>
          <w:sz w:val="24"/>
          <w:szCs w:val="24"/>
          <w:shd w:val="clear" w:color="auto" w:fill="FFFFFF"/>
        </w:rPr>
        <w:t>ապետության</w:t>
      </w:r>
      <w:r w:rsidRPr="004E2AE8">
        <w:rPr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4E2AE8">
        <w:rPr>
          <w:rFonts w:cs="Sylfaen"/>
          <w:color w:val="000000"/>
          <w:sz w:val="24"/>
          <w:szCs w:val="24"/>
          <w:shd w:val="clear" w:color="auto" w:fill="FFFFFF"/>
        </w:rPr>
        <w:t>միջև</w:t>
      </w:r>
      <w:r w:rsidRPr="004E2AE8">
        <w:rPr>
          <w:color w:val="000000"/>
          <w:sz w:val="24"/>
          <w:szCs w:val="24"/>
          <w:shd w:val="clear" w:color="auto" w:fill="FFFFFF"/>
          <w:lang w:val="ru-RU"/>
        </w:rPr>
        <w:t xml:space="preserve">» </w:t>
      </w:r>
      <w:r w:rsidRPr="004E2AE8">
        <w:rPr>
          <w:rFonts w:cs="Sylfaen"/>
          <w:color w:val="000000"/>
          <w:sz w:val="24"/>
          <w:szCs w:val="24"/>
          <w:shd w:val="clear" w:color="auto" w:fill="FFFFFF"/>
        </w:rPr>
        <w:t>համաձայնագ</w:t>
      </w:r>
      <w:r w:rsidRPr="004E2AE8">
        <w:rPr>
          <w:rFonts w:cs="Sylfaen"/>
          <w:color w:val="000000"/>
          <w:sz w:val="24"/>
          <w:szCs w:val="24"/>
          <w:shd w:val="clear" w:color="auto" w:fill="FFFFFF"/>
          <w:lang w:val="ru-RU"/>
        </w:rPr>
        <w:t xml:space="preserve">րի մասին ՀՀ գերատեսչություններից ստացված եզրակացությունների </w:t>
      </w:r>
    </w:p>
    <w:p w:rsidR="0015465C" w:rsidRPr="004E2AE8" w:rsidRDefault="0015465C" w:rsidP="004E2AE8">
      <w:pPr>
        <w:jc w:val="center"/>
        <w:rPr>
          <w:sz w:val="24"/>
          <w:szCs w:val="24"/>
          <w:lang w:val="ru-RU"/>
        </w:rPr>
      </w:pPr>
    </w:p>
    <w:tbl>
      <w:tblPr>
        <w:tblStyle w:val="TableGrid"/>
        <w:tblW w:w="10847" w:type="dxa"/>
        <w:tblInd w:w="-743" w:type="dxa"/>
        <w:tblLook w:val="04A0" w:firstRow="1" w:lastRow="0" w:firstColumn="1" w:lastColumn="0" w:noHBand="0" w:noVBand="1"/>
      </w:tblPr>
      <w:tblGrid>
        <w:gridCol w:w="3192"/>
        <w:gridCol w:w="4463"/>
        <w:gridCol w:w="3192"/>
      </w:tblGrid>
      <w:tr w:rsidR="004E2AE8" w:rsidTr="004F7AD7">
        <w:tc>
          <w:tcPr>
            <w:tcW w:w="3192" w:type="dxa"/>
          </w:tcPr>
          <w:p w:rsidR="004E2AE8" w:rsidRDefault="004E2AE8" w:rsidP="004E2A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Արդարադատության նախարարություն </w:t>
            </w:r>
          </w:p>
        </w:tc>
        <w:tc>
          <w:tcPr>
            <w:tcW w:w="4463" w:type="dxa"/>
          </w:tcPr>
          <w:p w:rsidR="004E2AE8" w:rsidRDefault="004F7AD7" w:rsidP="004F7AD7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Համաձայնագի</w:t>
            </w:r>
            <w:r w:rsidR="0015465C">
              <w:rPr>
                <w:lang w:val="ru-RU"/>
              </w:rPr>
              <w:t>ր</w:t>
            </w:r>
            <w:r>
              <w:rPr>
                <w:lang w:val="ru-RU"/>
              </w:rPr>
              <w:t>ը ենթակա է վավե</w:t>
            </w:r>
            <w:r>
              <w:rPr>
                <w:lang w:val="ru-RU"/>
              </w:rPr>
              <w:softHyphen/>
              <w:t xml:space="preserve">րացման Ազգային ժողովի կողմից՝ համաձայն Սահմանադրության 116-րդ հոդվածի 1-ին մասի 2-րդ կետի և «Միջազգային պայմանագրերի մասին» ՀՀ օրենքի 10-րդ հոդվածի 2-րդ մասի 2-րդ կետի դրույթներով:  </w:t>
            </w:r>
          </w:p>
        </w:tc>
        <w:tc>
          <w:tcPr>
            <w:tcW w:w="3192" w:type="dxa"/>
          </w:tcPr>
          <w:p w:rsidR="004E2AE8" w:rsidRDefault="004F7AD7" w:rsidP="004E2A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Ընդունվել է ի գիտություն: Պատրաստվել է ԱԺ վավերացման ներկայացնելու փաթեթ:</w:t>
            </w:r>
          </w:p>
        </w:tc>
      </w:tr>
      <w:tr w:rsidR="004E2AE8" w:rsidTr="004F7AD7">
        <w:tc>
          <w:tcPr>
            <w:tcW w:w="3192" w:type="dxa"/>
          </w:tcPr>
          <w:p w:rsidR="004E2AE8" w:rsidRDefault="004E2AE8" w:rsidP="004E2A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Արտաքին գործերի նախարարություն</w:t>
            </w:r>
          </w:p>
        </w:tc>
        <w:tc>
          <w:tcPr>
            <w:tcW w:w="4463" w:type="dxa"/>
          </w:tcPr>
          <w:p w:rsidR="004E2AE8" w:rsidRDefault="00E116AF" w:rsidP="00E116A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Համաձայնագրի վավերացումը Հայաս</w:t>
            </w:r>
            <w:r>
              <w:rPr>
                <w:lang w:val="ru-RU"/>
              </w:rPr>
              <w:softHyphen/>
              <w:t>տա</w:t>
            </w:r>
            <w:r>
              <w:rPr>
                <w:lang w:val="ru-RU"/>
              </w:rPr>
              <w:softHyphen/>
              <w:t>նի Հանրապետության վարած արտաքին քաղաքականության տեսան</w:t>
            </w:r>
            <w:r w:rsidR="0015465C">
              <w:rPr>
                <w:lang w:val="ru-RU"/>
              </w:rPr>
              <w:softHyphen/>
            </w:r>
            <w:r>
              <w:rPr>
                <w:lang w:val="ru-RU"/>
              </w:rPr>
              <w:t>կյու</w:t>
            </w:r>
            <w:r>
              <w:rPr>
                <w:lang w:val="ru-RU"/>
              </w:rPr>
              <w:softHyphen/>
              <w:t xml:space="preserve">նից նպատակահարմար է: </w:t>
            </w:r>
          </w:p>
        </w:tc>
        <w:tc>
          <w:tcPr>
            <w:tcW w:w="3192" w:type="dxa"/>
          </w:tcPr>
          <w:p w:rsidR="004E2AE8" w:rsidRDefault="0015465C" w:rsidP="004E2A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Ընդունվել է ի գիտություն:</w:t>
            </w:r>
          </w:p>
        </w:tc>
      </w:tr>
      <w:tr w:rsidR="004E2AE8" w:rsidTr="004F7AD7">
        <w:tc>
          <w:tcPr>
            <w:tcW w:w="3192" w:type="dxa"/>
          </w:tcPr>
          <w:p w:rsidR="004E2AE8" w:rsidRDefault="004E2AE8" w:rsidP="004E2A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Ֆինանսների նախարարություն</w:t>
            </w:r>
          </w:p>
        </w:tc>
        <w:tc>
          <w:tcPr>
            <w:tcW w:w="4463" w:type="dxa"/>
          </w:tcPr>
          <w:p w:rsidR="004E2AE8" w:rsidRDefault="00E116AF" w:rsidP="00E116A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Համաձայնագրով ենթադրվում է Հայաստանի Հանրապետության համար ֆինանսական պարտավորությունների առաջացում, ուստի և պետական բյուջեի ծախսերի ավելացում: </w:t>
            </w:r>
          </w:p>
        </w:tc>
        <w:tc>
          <w:tcPr>
            <w:tcW w:w="3192" w:type="dxa"/>
          </w:tcPr>
          <w:p w:rsidR="004E2AE8" w:rsidRDefault="0015465C" w:rsidP="004E2A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Ընդունվել է ի գիտություն:</w:t>
            </w:r>
          </w:p>
        </w:tc>
      </w:tr>
      <w:tr w:rsidR="004E2AE8" w:rsidTr="004F7AD7">
        <w:tc>
          <w:tcPr>
            <w:tcW w:w="3192" w:type="dxa"/>
          </w:tcPr>
          <w:p w:rsidR="004E2AE8" w:rsidRDefault="004E2AE8" w:rsidP="004E2A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Տնտեսական զարգացման և ներդրումների նախարարություն</w:t>
            </w:r>
          </w:p>
        </w:tc>
        <w:tc>
          <w:tcPr>
            <w:tcW w:w="4463" w:type="dxa"/>
          </w:tcPr>
          <w:p w:rsidR="004E2AE8" w:rsidRDefault="00E116AF" w:rsidP="00E116A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Համաձայնագրով Հայաստանի Հանրա</w:t>
            </w:r>
            <w:r>
              <w:rPr>
                <w:lang w:val="ru-RU"/>
              </w:rPr>
              <w:softHyphen/>
              <w:t>պետության համար գույքային պարտա</w:t>
            </w:r>
            <w:r>
              <w:rPr>
                <w:lang w:val="ru-RU"/>
              </w:rPr>
              <w:softHyphen/>
              <w:t xml:space="preserve">վորություններ նախատեսող դրույթներ չկան: </w:t>
            </w:r>
          </w:p>
        </w:tc>
        <w:tc>
          <w:tcPr>
            <w:tcW w:w="3192" w:type="dxa"/>
          </w:tcPr>
          <w:p w:rsidR="004E2AE8" w:rsidRDefault="0015465C" w:rsidP="004E2AE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Ընդունվել է ի գիտություն: </w:t>
            </w:r>
          </w:p>
        </w:tc>
      </w:tr>
    </w:tbl>
    <w:p w:rsidR="004E2AE8" w:rsidRPr="004E2AE8" w:rsidRDefault="004E2AE8" w:rsidP="004E2AE8">
      <w:pPr>
        <w:jc w:val="center"/>
        <w:rPr>
          <w:lang w:val="ru-RU"/>
        </w:rPr>
      </w:pPr>
    </w:p>
    <w:sectPr w:rsidR="004E2AE8" w:rsidRPr="004E2A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E8"/>
    <w:rsid w:val="0015465C"/>
    <w:rsid w:val="004B0C5E"/>
    <w:rsid w:val="004E2AE8"/>
    <w:rsid w:val="004F7AD7"/>
    <w:rsid w:val="00796FE0"/>
    <w:rsid w:val="00E116AF"/>
    <w:rsid w:val="00E5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D70191-BF57-4A85-B7DF-F0D1D034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092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2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Bela Galstyan</cp:lastModifiedBy>
  <cp:revision>2</cp:revision>
  <dcterms:created xsi:type="dcterms:W3CDTF">2019-03-07T05:37:00Z</dcterms:created>
  <dcterms:modified xsi:type="dcterms:W3CDTF">2019-03-07T05:37:00Z</dcterms:modified>
</cp:coreProperties>
</file>